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84A4" w14:textId="77777777" w:rsidR="00D50443" w:rsidRPr="003652DE" w:rsidRDefault="00D50443" w:rsidP="00D50443">
      <w:pPr>
        <w:pStyle w:val="Nadpis7"/>
        <w:jc w:val="center"/>
        <w:rPr>
          <w:rFonts w:asciiTheme="minorHAnsi" w:hAnsiTheme="minorHAnsi" w:cstheme="minorHAnsi"/>
          <w:smallCaps/>
          <w:sz w:val="28"/>
          <w:szCs w:val="28"/>
          <w:lang w:val="x-none"/>
        </w:rPr>
      </w:pPr>
      <w:r>
        <w:rPr>
          <w:rFonts w:asciiTheme="minorHAnsi" w:hAnsiTheme="minorHAnsi" w:cstheme="minorHAnsi"/>
          <w:smallCaps/>
          <w:sz w:val="28"/>
          <w:szCs w:val="28"/>
        </w:rPr>
        <w:t>PŘÍLOHA 1</w:t>
      </w:r>
      <w:r w:rsidR="005225C4">
        <w:rPr>
          <w:rFonts w:asciiTheme="minorHAnsi" w:hAnsiTheme="minorHAnsi" w:cstheme="minorHAnsi"/>
          <w:smallCaps/>
          <w:sz w:val="28"/>
          <w:szCs w:val="28"/>
        </w:rPr>
        <w:t>D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– SPECIFIKACE TECHNICKÝCH, JAKOSTNÍCH A FUNKČNÍCH VLASTNOSTÍ PŘEDMĚTU PLNĚNÍ – DÍLČÍ PLNĚNÍ </w:t>
      </w:r>
      <w:r w:rsidR="005225C4">
        <w:rPr>
          <w:rFonts w:asciiTheme="minorHAnsi" w:hAnsiTheme="minorHAnsi" w:cstheme="minorHAnsi"/>
          <w:smallCaps/>
          <w:sz w:val="28"/>
          <w:szCs w:val="28"/>
        </w:rPr>
        <w:t>D</w:t>
      </w:r>
    </w:p>
    <w:p w14:paraId="15057FB1" w14:textId="77777777" w:rsidR="00D50443" w:rsidRDefault="00D50443" w:rsidP="00D50443">
      <w:pPr>
        <w:pStyle w:val="normalsmezerou"/>
        <w:overflowPunct w:val="0"/>
        <w:autoSpaceDE w:val="0"/>
        <w:autoSpaceDN w:val="0"/>
        <w:spacing w:after="0"/>
        <w:textAlignment w:val="baseline"/>
        <w:rPr>
          <w:rFonts w:asciiTheme="minorHAnsi" w:hAnsiTheme="minorHAnsi" w:cstheme="minorHAnsi"/>
        </w:rPr>
      </w:pPr>
    </w:p>
    <w:p w14:paraId="0F006360" w14:textId="77777777" w:rsidR="00D50443" w:rsidRPr="007738A5" w:rsidRDefault="00D50443" w:rsidP="00D50443">
      <w:pPr>
        <w:pStyle w:val="normalsmezerou"/>
        <w:overflowPunct w:val="0"/>
        <w:autoSpaceDE w:val="0"/>
        <w:autoSpaceDN w:val="0"/>
        <w:spacing w:after="0"/>
        <w:textAlignment w:val="baseline"/>
        <w:rPr>
          <w:rFonts w:asciiTheme="minorHAnsi" w:hAnsiTheme="minorHAnsi" w:cstheme="minorHAnsi"/>
        </w:rPr>
      </w:pPr>
    </w:p>
    <w:p w14:paraId="1CF10496" w14:textId="77777777" w:rsidR="00D50443" w:rsidRPr="007738A5" w:rsidRDefault="00D50443" w:rsidP="00D50443">
      <w:pPr>
        <w:pStyle w:val="normalsmezerou"/>
        <w:overflowPunct w:val="0"/>
        <w:autoSpaceDE w:val="0"/>
        <w:autoSpaceDN w:val="0"/>
        <w:spacing w:after="0"/>
        <w:textAlignment w:val="baseline"/>
        <w:rPr>
          <w:rFonts w:asciiTheme="minorHAnsi" w:hAnsiTheme="minorHAnsi" w:cstheme="minorHAnsi"/>
        </w:rPr>
      </w:pPr>
    </w:p>
    <w:p w14:paraId="6549B67F" w14:textId="77777777" w:rsidR="00D50443" w:rsidRPr="003652DE" w:rsidRDefault="00D50443" w:rsidP="00D50443">
      <w:pPr>
        <w:pStyle w:val="Nadpis7"/>
        <w:rPr>
          <w:rFonts w:asciiTheme="minorHAnsi" w:hAnsiTheme="minorHAnsi" w:cstheme="minorHAnsi"/>
          <w:smallCaps/>
          <w:sz w:val="24"/>
          <w:szCs w:val="24"/>
          <w:u w:val="single"/>
          <w:lang w:val="x-none"/>
        </w:rPr>
      </w:pPr>
      <w:r>
        <w:rPr>
          <w:rFonts w:asciiTheme="minorHAnsi" w:hAnsiTheme="minorHAnsi" w:cstheme="minorHAnsi"/>
          <w:smallCaps/>
          <w:sz w:val="24"/>
          <w:szCs w:val="24"/>
          <w:u w:val="single"/>
        </w:rPr>
        <w:t xml:space="preserve">DÍLČÍ PLNĚNÍ </w:t>
      </w:r>
      <w:r w:rsidR="005225C4">
        <w:rPr>
          <w:rFonts w:asciiTheme="minorHAnsi" w:hAnsiTheme="minorHAnsi" w:cstheme="minorHAnsi"/>
          <w:smallCaps/>
          <w:sz w:val="24"/>
          <w:szCs w:val="24"/>
          <w:u w:val="single"/>
        </w:rPr>
        <w:t>D</w:t>
      </w:r>
      <w:r>
        <w:rPr>
          <w:rFonts w:asciiTheme="minorHAnsi" w:hAnsiTheme="minorHAnsi" w:cstheme="minorHAnsi"/>
          <w:smallCaps/>
          <w:sz w:val="24"/>
          <w:szCs w:val="24"/>
          <w:u w:val="single"/>
        </w:rPr>
        <w:t xml:space="preserve"> – LINEÁRNÍ STAPLERY S OKROUHLOU HLAVOU VELIKOSTI 40MM</w:t>
      </w:r>
    </w:p>
    <w:p w14:paraId="57EB1554" w14:textId="77777777" w:rsidR="00D50443" w:rsidRDefault="00D50443" w:rsidP="00DE728C">
      <w:pPr>
        <w:spacing w:after="120"/>
      </w:pPr>
    </w:p>
    <w:p w14:paraId="709E26A2" w14:textId="77777777" w:rsidR="00DE728C" w:rsidRDefault="00DE728C" w:rsidP="00DE728C">
      <w:pPr>
        <w:spacing w:after="120"/>
      </w:pPr>
      <w:r>
        <w:t xml:space="preserve">Jednorázové instrumenty, použití pro jednoho pacienta. Instrument lze opakovaně nabít. </w:t>
      </w:r>
    </w:p>
    <w:p w14:paraId="7E3CFD00" w14:textId="77777777" w:rsidR="00DE728C" w:rsidRDefault="00DE728C" w:rsidP="00DE728C">
      <w:pPr>
        <w:spacing w:after="120"/>
      </w:pPr>
      <w:r>
        <w:t xml:space="preserve">Lineární staplery s okrouhlou hlavou  jsou sterilní instrumenty, které současně sešívají a řežou tkáň. Instrument poskytuje dvě řady střídavě uspořádaných svorek na obou stranách řezné linie. </w:t>
      </w:r>
    </w:p>
    <w:p w14:paraId="04C2D56D" w14:textId="77777777" w:rsidR="00DE728C" w:rsidRDefault="00DE728C" w:rsidP="00DE728C">
      <w:pPr>
        <w:spacing w:after="120"/>
      </w:pPr>
      <w:r>
        <w:t xml:space="preserve">Tyto staplery jsou tvarem a funkcí přizpůsobeny práci v úzkém prostoru malé pánve, kde umožňují nejhlubší průnik. Jejich využití je proto především při nízkých předních resekcích, kde je velkou výhodou též jejich schopnost v jednom kroku resekovat a uzavřít tkáň po obou stranách řezné linie. Tato vlastnost je s výhodou využívána též při výkonech na jícnu. </w:t>
      </w:r>
    </w:p>
    <w:p w14:paraId="418263C8" w14:textId="77777777" w:rsidR="00DE728C" w:rsidRDefault="00DE728C" w:rsidP="00DE728C">
      <w:pPr>
        <w:spacing w:after="120"/>
      </w:pPr>
      <w:r>
        <w:t xml:space="preserve">Instrument může být vícekrát nabit a odpálen. Nové náboje do instrumentu se mohou doplňovat pouze během jednoho zákroku, aby byla zachována dokonalá sterilita. </w:t>
      </w:r>
    </w:p>
    <w:p w14:paraId="423AB770" w14:textId="77777777" w:rsidR="00DE728C" w:rsidRDefault="00DE728C" w:rsidP="00DE728C">
      <w:pPr>
        <w:spacing w:after="120"/>
      </w:pPr>
    </w:p>
    <w:p w14:paraId="619C1DF9" w14:textId="77777777" w:rsidR="00DE728C" w:rsidRDefault="00DE728C" w:rsidP="00DE728C">
      <w:pPr>
        <w:spacing w:after="120"/>
      </w:pPr>
      <w:r>
        <w:t>Další vlastnosti:</w:t>
      </w:r>
    </w:p>
    <w:p w14:paraId="3D36D4F0" w14:textId="77777777" w:rsidR="00DE728C" w:rsidRDefault="00DE728C" w:rsidP="00DE728C">
      <w:pPr>
        <w:numPr>
          <w:ilvl w:val="0"/>
          <w:numId w:val="2"/>
        </w:numPr>
        <w:autoSpaceDN w:val="0"/>
        <w:spacing w:after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Materiál použitý k výrobě svorek</w:t>
      </w:r>
      <w:r>
        <w:rPr>
          <w:rFonts w:eastAsia="Times New Roman"/>
        </w:rPr>
        <w:t xml:space="preserve">  - je MRI kompatibilní slitina </w:t>
      </w:r>
    </w:p>
    <w:p w14:paraId="7B93E236" w14:textId="77777777" w:rsidR="00DE728C" w:rsidRDefault="00DE728C" w:rsidP="00DE728C">
      <w:pPr>
        <w:numPr>
          <w:ilvl w:val="0"/>
          <w:numId w:val="2"/>
        </w:numPr>
        <w:autoSpaceDN w:val="0"/>
        <w:spacing w:after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Materiál nože </w:t>
      </w:r>
      <w:r>
        <w:rPr>
          <w:rFonts w:eastAsia="Times New Roman"/>
        </w:rPr>
        <w:t>– nůž je vyroben z vysoce kvalitní chirurgické oceli a je testován k opakovanému použití při jednom výkonu.</w:t>
      </w:r>
    </w:p>
    <w:p w14:paraId="735A2873" w14:textId="77777777" w:rsidR="00DE728C" w:rsidRDefault="00DE728C" w:rsidP="00DE728C">
      <w:pPr>
        <w:pStyle w:val="Odstavecseseznamem"/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Zásobníky pro </w:t>
      </w:r>
      <w:r>
        <w:rPr>
          <w:rFonts w:eastAsia="Times New Roman"/>
          <w:b/>
          <w:bCs/>
        </w:rPr>
        <w:t>standardní tkáň</w:t>
      </w:r>
      <w:r>
        <w:rPr>
          <w:rFonts w:eastAsia="Times New Roman"/>
        </w:rPr>
        <w:t xml:space="preserve"> (výška svorky po odpalu 1,5 mm) a </w:t>
      </w:r>
      <w:r>
        <w:rPr>
          <w:rFonts w:eastAsia="Times New Roman"/>
          <w:b/>
          <w:bCs/>
        </w:rPr>
        <w:t>silnou tkáň</w:t>
      </w:r>
      <w:r>
        <w:rPr>
          <w:rFonts w:eastAsia="Times New Roman"/>
        </w:rPr>
        <w:t xml:space="preserve"> (výška svorky po odpalu 2,0 mm)</w:t>
      </w:r>
    </w:p>
    <w:p w14:paraId="64CEC746" w14:textId="77777777" w:rsidR="00DE728C" w:rsidRDefault="00DE728C" w:rsidP="00DE728C">
      <w:pPr>
        <w:numPr>
          <w:ilvl w:val="0"/>
          <w:numId w:val="2"/>
        </w:numPr>
        <w:overflowPunct w:val="0"/>
        <w:autoSpaceDE w:val="0"/>
        <w:autoSpaceDN w:val="0"/>
        <w:spacing w:after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Paralelní dovírání čelistí</w:t>
      </w:r>
      <w:r>
        <w:rPr>
          <w:rFonts w:eastAsia="Times New Roman"/>
        </w:rPr>
        <w:t xml:space="preserve"> - pro konsistentní formování svorek po celé délce sutury.</w:t>
      </w:r>
    </w:p>
    <w:p w14:paraId="6BBFC03D" w14:textId="77777777" w:rsidR="00DE728C" w:rsidRDefault="00DE728C" w:rsidP="00DE728C">
      <w:pPr>
        <w:numPr>
          <w:ilvl w:val="0"/>
          <w:numId w:val="2"/>
        </w:numPr>
        <w:autoSpaceDN w:val="0"/>
        <w:spacing w:after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Způsob zabezpečení –</w:t>
      </w:r>
      <w:r>
        <w:rPr>
          <w:rFonts w:eastAsia="Times New Roman"/>
        </w:rPr>
        <w:t xml:space="preserve"> instrument je opatřen blokovacím mechanismem bránícím tomu, aby byl použitý nebo špatně usazený náboj odpálen (nemůže dojít k nežádoucímu přeříznutí tkáně bez jejího současného sešití).</w:t>
      </w:r>
    </w:p>
    <w:p w14:paraId="363ECF02" w14:textId="77777777" w:rsidR="00DE728C" w:rsidRDefault="00DE728C" w:rsidP="00DE728C">
      <w:pPr>
        <w:numPr>
          <w:ilvl w:val="0"/>
          <w:numId w:val="2"/>
        </w:numPr>
        <w:autoSpaceDN w:val="0"/>
        <w:spacing w:after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Spolehlivost – </w:t>
      </w:r>
      <w:r>
        <w:rPr>
          <w:rFonts w:eastAsia="Times New Roman"/>
        </w:rPr>
        <w:t xml:space="preserve">celý výrobní proces podléhá přísné kontrole, spolehlivost výrobků je dlouhodobě prověřována vysokým počtem uživatelů. </w:t>
      </w:r>
    </w:p>
    <w:p w14:paraId="22985A78" w14:textId="77777777" w:rsidR="00DE728C" w:rsidRDefault="00DE728C" w:rsidP="00DE728C">
      <w:pPr>
        <w:numPr>
          <w:ilvl w:val="0"/>
          <w:numId w:val="2"/>
        </w:numPr>
        <w:overflowPunct w:val="0"/>
        <w:autoSpaceDE w:val="0"/>
        <w:autoSpaceDN w:val="0"/>
        <w:spacing w:after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Výměnné zásobníky</w:t>
      </w:r>
      <w:r>
        <w:rPr>
          <w:rFonts w:eastAsia="Times New Roman"/>
        </w:rPr>
        <w:t>  - pro standardní tkáň a silnou tkáň (vhodné na kolorektální a hrudní výkony - bronchus).</w:t>
      </w:r>
    </w:p>
    <w:p w14:paraId="49D35FCC" w14:textId="77777777" w:rsidR="00DE728C" w:rsidRDefault="00DE728C" w:rsidP="00DE728C">
      <w:pPr>
        <w:numPr>
          <w:ilvl w:val="0"/>
          <w:numId w:val="2"/>
        </w:numPr>
        <w:autoSpaceDN w:val="0"/>
        <w:spacing w:after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Snadná manipulovatelnost instrumentů – </w:t>
      </w:r>
      <w:r>
        <w:rPr>
          <w:rFonts w:eastAsia="Times New Roman"/>
        </w:rPr>
        <w:t xml:space="preserve">snadné nabíjení instrumentu, jednoruční ovládání odpalovacího mechanismu </w:t>
      </w:r>
    </w:p>
    <w:p w14:paraId="4D0EE369" w14:textId="77777777" w:rsidR="00DE728C" w:rsidRDefault="00DE728C" w:rsidP="00DE728C">
      <w:pPr>
        <w:numPr>
          <w:ilvl w:val="0"/>
          <w:numId w:val="2"/>
        </w:numPr>
        <w:autoSpaceDN w:val="0"/>
        <w:spacing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Manuálně/automaticky ovládaný posuvný pojistný kolík </w:t>
      </w:r>
      <w:r>
        <w:rPr>
          <w:rFonts w:eastAsia="Times New Roman"/>
        </w:rPr>
        <w:t>– zabraňující vytlačení tkáně z instrumentu během dovírání a odpálení instrumentu</w:t>
      </w:r>
    </w:p>
    <w:p w14:paraId="4F3705DD" w14:textId="77777777" w:rsidR="00DE728C" w:rsidRDefault="00DE728C" w:rsidP="00DE728C"/>
    <w:p w14:paraId="0CE8DD82" w14:textId="77777777" w:rsidR="00DE728C" w:rsidRDefault="00DE728C" w:rsidP="00DE728C"/>
    <w:p w14:paraId="5C867F1E" w14:textId="77777777" w:rsidR="00CF6CB7" w:rsidRPr="00DE728C" w:rsidRDefault="00CF6CB7" w:rsidP="00DE728C"/>
    <w:sectPr w:rsidR="00CF6CB7" w:rsidRPr="00D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5C87"/>
    <w:multiLevelType w:val="hybridMultilevel"/>
    <w:tmpl w:val="D17C03E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AC9"/>
    <w:multiLevelType w:val="hybridMultilevel"/>
    <w:tmpl w:val="F30801D2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D75"/>
    <w:multiLevelType w:val="hybridMultilevel"/>
    <w:tmpl w:val="1974EFF4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6E8C"/>
    <w:multiLevelType w:val="multilevel"/>
    <w:tmpl w:val="EB9EA08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8C"/>
    <w:rsid w:val="003B2A14"/>
    <w:rsid w:val="005225C4"/>
    <w:rsid w:val="00CF6CB7"/>
    <w:rsid w:val="00D50443"/>
    <w:rsid w:val="00DE728C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6061"/>
  <w15:chartTrackingRefBased/>
  <w15:docId w15:val="{E55212C1-E6BE-4EE4-8ECF-4AB1286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28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DE728C"/>
    <w:pPr>
      <w:keepNext/>
      <w:numPr>
        <w:numId w:val="1"/>
      </w:numPr>
      <w:overflowPunct w:val="0"/>
      <w:autoSpaceDE w:val="0"/>
      <w:autoSpaceDN w:val="0"/>
      <w:spacing w:after="480"/>
      <w:outlineLvl w:val="0"/>
    </w:pPr>
    <w:rPr>
      <w:rFonts w:ascii="Times New Roman" w:hAnsi="Times New Roman" w:cs="Times New Roman"/>
      <w:b/>
      <w:bCs/>
      <w:smallCaps/>
      <w:kern w:val="36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E728C"/>
    <w:pPr>
      <w:keepNext/>
      <w:numPr>
        <w:ilvl w:val="1"/>
        <w:numId w:val="1"/>
      </w:numPr>
      <w:overflowPunct w:val="0"/>
      <w:autoSpaceDE w:val="0"/>
      <w:autoSpaceDN w:val="0"/>
      <w:spacing w:before="240" w:after="480"/>
      <w:outlineLvl w:val="1"/>
    </w:pPr>
    <w:rPr>
      <w:rFonts w:ascii="Times New Roman" w:hAnsi="Times New Roman" w:cs="Times New Roman"/>
      <w:smallCap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E728C"/>
    <w:pPr>
      <w:keepNext/>
      <w:numPr>
        <w:ilvl w:val="2"/>
        <w:numId w:val="1"/>
      </w:numPr>
      <w:overflowPunct w:val="0"/>
      <w:autoSpaceDE w:val="0"/>
      <w:autoSpaceDN w:val="0"/>
      <w:spacing w:before="240" w:after="480"/>
      <w:outlineLvl w:val="2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E728C"/>
    <w:pPr>
      <w:keepNext/>
      <w:numPr>
        <w:ilvl w:val="3"/>
        <w:numId w:val="1"/>
      </w:numPr>
      <w:overflowPunct w:val="0"/>
      <w:autoSpaceDE w:val="0"/>
      <w:autoSpaceDN w:val="0"/>
      <w:spacing w:before="240" w:after="240"/>
      <w:jc w:val="both"/>
      <w:outlineLvl w:val="3"/>
    </w:pPr>
    <w:rPr>
      <w:rFonts w:ascii="Times New Roman" w:hAnsi="Times New Roman" w:cs="Times New Roman"/>
      <w:b/>
      <w:bCs/>
      <w:smallCap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E728C"/>
    <w:pPr>
      <w:numPr>
        <w:ilvl w:val="4"/>
        <w:numId w:val="1"/>
      </w:numPr>
      <w:overflowPunct w:val="0"/>
      <w:autoSpaceDE w:val="0"/>
      <w:autoSpaceDN w:val="0"/>
      <w:spacing w:before="240" w:after="240"/>
      <w:jc w:val="both"/>
      <w:outlineLvl w:val="4"/>
    </w:pPr>
    <w:rPr>
      <w:rFonts w:ascii="Times New Roman" w:hAnsi="Times New Roman" w:cs="Times New Roman"/>
      <w:smallCap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E728C"/>
    <w:pPr>
      <w:keepNext/>
      <w:outlineLvl w:val="6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728C"/>
    <w:rPr>
      <w:rFonts w:ascii="Times New Roman" w:hAnsi="Times New Roman" w:cs="Times New Roman"/>
      <w:b/>
      <w:bCs/>
      <w:smallCaps/>
      <w:kern w:val="3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728C"/>
    <w:rPr>
      <w:rFonts w:ascii="Times New Roman" w:hAnsi="Times New Roman"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728C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728C"/>
    <w:rPr>
      <w:rFonts w:ascii="Times New Roman" w:hAnsi="Times New Roman" w:cs="Times New Roman"/>
      <w:b/>
      <w:bCs/>
      <w:small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728C"/>
    <w:rPr>
      <w:rFonts w:ascii="Times New Roman" w:hAnsi="Times New Roman" w:cs="Times New Roman"/>
      <w:smallCap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728C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E728C"/>
    <w:pPr>
      <w:overflowPunct w:val="0"/>
      <w:autoSpaceDE w:val="0"/>
      <w:autoSpaceDN w:val="0"/>
      <w:spacing w:after="240"/>
      <w:ind w:left="720"/>
      <w:contextualSpacing/>
      <w:jc w:val="both"/>
    </w:pPr>
    <w:rPr>
      <w:rFonts w:ascii="Times New Roman" w:hAnsi="Times New Roman" w:cs="Times New Roman"/>
    </w:rPr>
  </w:style>
  <w:style w:type="paragraph" w:customStyle="1" w:styleId="normalsmezerou">
    <w:name w:val="normal s mezerou"/>
    <w:basedOn w:val="Normln"/>
    <w:rsid w:val="00DE728C"/>
    <w:pPr>
      <w:snapToGrid w:val="0"/>
      <w:spacing w:after="2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Jelínková (OZ obchodní)</dc:creator>
  <cp:keywords/>
  <dc:description/>
  <cp:lastModifiedBy>Lenka Jelínková (OZ obchodní)</cp:lastModifiedBy>
  <cp:revision>6</cp:revision>
  <dcterms:created xsi:type="dcterms:W3CDTF">2020-05-04T13:07:00Z</dcterms:created>
  <dcterms:modified xsi:type="dcterms:W3CDTF">2020-08-12T09:55:00Z</dcterms:modified>
</cp:coreProperties>
</file>