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30452" w14:textId="77777777" w:rsidR="000E4D3F" w:rsidRPr="000E4D3F" w:rsidRDefault="000E4D3F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E4D3F">
        <w:rPr>
          <w:rFonts w:asciiTheme="minorHAnsi" w:hAnsiTheme="minorHAnsi" w:cstheme="minorHAnsi"/>
          <w:b/>
          <w:bCs/>
          <w:sz w:val="28"/>
          <w:szCs w:val="28"/>
        </w:rPr>
        <w:t>Příloha č.4</w:t>
      </w:r>
    </w:p>
    <w:p w14:paraId="10C3D561" w14:textId="77777777" w:rsidR="000E4D3F" w:rsidRPr="000E4D3F" w:rsidRDefault="000E4D3F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E4D3F">
        <w:rPr>
          <w:rFonts w:asciiTheme="minorHAnsi" w:hAnsiTheme="minorHAnsi" w:cstheme="minorHAnsi"/>
          <w:b/>
          <w:bCs/>
          <w:sz w:val="28"/>
          <w:szCs w:val="28"/>
        </w:rPr>
        <w:t>Výzvy k podání nabídek</w:t>
      </w:r>
    </w:p>
    <w:p w14:paraId="69379A91" w14:textId="15163A36" w:rsidR="000E4D3F" w:rsidRPr="000E4D3F" w:rsidRDefault="000E4D3F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E4D3F">
        <w:rPr>
          <w:rFonts w:asciiTheme="minorHAnsi" w:hAnsiTheme="minorHAnsi" w:cstheme="minorHAnsi"/>
          <w:b/>
          <w:bCs/>
          <w:sz w:val="28"/>
          <w:szCs w:val="28"/>
        </w:rPr>
        <w:t xml:space="preserve"> </w:t>
      </w:r>
    </w:p>
    <w:p w14:paraId="3D028437" w14:textId="79C1F364" w:rsidR="000E4D3F" w:rsidRPr="000E4D3F" w:rsidRDefault="000E4D3F" w:rsidP="000E4D3F">
      <w:pPr>
        <w:tabs>
          <w:tab w:val="center" w:pos="4537"/>
          <w:tab w:val="left" w:pos="7830"/>
        </w:tabs>
        <w:spacing w:after="0" w:line="259" w:lineRule="auto"/>
        <w:ind w:left="0" w:right="0" w:firstLine="0"/>
        <w:rPr>
          <w:rFonts w:asciiTheme="minorHAnsi" w:hAnsiTheme="minorHAnsi" w:cstheme="minorHAnsi"/>
          <w:b/>
          <w:bCs/>
          <w:sz w:val="28"/>
          <w:szCs w:val="28"/>
        </w:rPr>
      </w:pPr>
      <w:r>
        <w:rPr>
          <w:rFonts w:asciiTheme="minorHAnsi" w:hAnsiTheme="minorHAnsi" w:cstheme="minorHAnsi"/>
          <w:b/>
          <w:bCs/>
          <w:sz w:val="28"/>
          <w:szCs w:val="28"/>
        </w:rPr>
        <w:tab/>
      </w:r>
      <w:r w:rsidRPr="000E4D3F">
        <w:rPr>
          <w:rFonts w:asciiTheme="minorHAnsi" w:hAnsiTheme="minorHAnsi" w:cstheme="minorHAnsi"/>
          <w:b/>
          <w:bCs/>
          <w:sz w:val="28"/>
          <w:szCs w:val="28"/>
        </w:rPr>
        <w:t>Technická specifikace předmětu plnění</w:t>
      </w:r>
      <w:r>
        <w:rPr>
          <w:rFonts w:asciiTheme="minorHAnsi" w:hAnsiTheme="minorHAnsi" w:cstheme="minorHAnsi"/>
          <w:b/>
          <w:bCs/>
          <w:sz w:val="28"/>
          <w:szCs w:val="28"/>
        </w:rPr>
        <w:tab/>
      </w:r>
    </w:p>
    <w:p w14:paraId="286B41FB" w14:textId="77777777" w:rsidR="000E4D3F" w:rsidRPr="000E4D3F" w:rsidRDefault="000E4D3F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6D46D5B" w14:textId="3B126BDC" w:rsidR="004B1486" w:rsidRDefault="00467C21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0E4D3F">
        <w:rPr>
          <w:rFonts w:asciiTheme="minorHAnsi" w:hAnsiTheme="minorHAnsi" w:cstheme="minorHAnsi"/>
          <w:b/>
          <w:bCs/>
          <w:sz w:val="28"/>
          <w:szCs w:val="28"/>
        </w:rPr>
        <w:t>Požadavky na realizaci</w:t>
      </w:r>
    </w:p>
    <w:p w14:paraId="4CC0B16F" w14:textId="77777777" w:rsidR="000E4D3F" w:rsidRPr="000E4D3F" w:rsidRDefault="000E4D3F" w:rsidP="00467C21">
      <w:pPr>
        <w:spacing w:after="0" w:line="259" w:lineRule="auto"/>
        <w:ind w:left="0" w:right="0" w:firstLine="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4A36532" w14:textId="3592E692" w:rsidR="004B1486" w:rsidRPr="000E4D3F" w:rsidRDefault="00467C21" w:rsidP="000E4D3F">
      <w:pPr>
        <w:pStyle w:val="Nadpis1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color w:val="auto"/>
          <w:sz w:val="22"/>
        </w:rPr>
      </w:pPr>
      <w:r w:rsidRPr="000E4D3F">
        <w:rPr>
          <w:rFonts w:asciiTheme="minorHAnsi" w:hAnsiTheme="minorHAnsi" w:cstheme="minorHAnsi"/>
          <w:b/>
          <w:bCs/>
          <w:color w:val="auto"/>
          <w:sz w:val="22"/>
        </w:rPr>
        <w:t xml:space="preserve">Požadavky instalace </w:t>
      </w:r>
    </w:p>
    <w:p w14:paraId="3B6E1F7B" w14:textId="77777777" w:rsidR="004B1486" w:rsidRPr="000E4D3F" w:rsidRDefault="00467C21" w:rsidP="00467C21">
      <w:pPr>
        <w:spacing w:after="0" w:line="259" w:lineRule="auto"/>
        <w:ind w:left="0" w:right="0" w:firstLine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 </w:t>
      </w:r>
    </w:p>
    <w:p w14:paraId="0ABA9651" w14:textId="77777777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Elektroinstalace a strukturovaná kabeláž musí být provedena v souladu se všemi zákonnými normami. </w:t>
      </w:r>
    </w:p>
    <w:p w14:paraId="332552BB" w14:textId="77777777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Zásuvkové vývody z 1. PP, 1. NP a 2. NP budou ukončeny v novém datovém rozvaděči 42U 600x800 RD1 v místnosti rozvaděče v 1. PP. Zásuvkové vývody z 3. NP a 4. NP budou ukončeny v novém datovém rozvaděči 42U 600x600 RD2 v místnosti v 3. NP. </w:t>
      </w:r>
    </w:p>
    <w:p w14:paraId="39E39757" w14:textId="1CF26EA6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V datových rozvaděčích budou ukončeny veškeré zásuvkové vývody na patch panelech cat.5e. V datových rozvaděčích budou umístěny aktivní prvky (switche), které budou propojeny patch kabely s datovými vývody. </w:t>
      </w:r>
    </w:p>
    <w:p w14:paraId="6B31C26A" w14:textId="77777777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Strukturovaná kabeláž bude provedena kabelem 4x2 AWG24 cat.5 U/UTP LS0H. </w:t>
      </w:r>
    </w:p>
    <w:p w14:paraId="6EFC463B" w14:textId="52E112F3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Horizontální trasy budou v umístěny ve žlabech instalovaných na zeď. Žlaby budou zakončeny vždy před stěnou/příčkou. Rozvod strukturované kabeláže bude ukončen v datových zásuvkách odpovídající kategorii 5e, v případě </w:t>
      </w:r>
      <w:proofErr w:type="spellStart"/>
      <w:r w:rsidRPr="000E4D3F">
        <w:rPr>
          <w:rFonts w:asciiTheme="minorHAnsi" w:hAnsiTheme="minorHAnsi" w:cstheme="minorHAnsi"/>
        </w:rPr>
        <w:t>WiFi</w:t>
      </w:r>
      <w:proofErr w:type="spellEnd"/>
      <w:r w:rsidRPr="000E4D3F">
        <w:rPr>
          <w:rFonts w:asciiTheme="minorHAnsi" w:hAnsiTheme="minorHAnsi" w:cstheme="minorHAnsi"/>
        </w:rPr>
        <w:t xml:space="preserve"> přístupových bodů konektorem RJ45 pro přímé připojení do zařízení. V datovém rozvaděči bude kabelový rozvod ukončen v modulárním patch panelu cat.5e UTP. Mezi patch panely budou umístěny vyvazovací panely s plastovými oky. Rozmístění zásuvek, přístupových bodů a rozvaděčů bude dle přílohy č. 1. </w:t>
      </w:r>
    </w:p>
    <w:p w14:paraId="5F1F2AA9" w14:textId="77777777" w:rsidR="004B1486" w:rsidRPr="000E4D3F" w:rsidRDefault="00467C21" w:rsidP="00467C21">
      <w:pPr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>Datová síť bude po instalaci proměřena a jednotlivá měření budou osvědčena certifikačními protokoly o kvalitě instalace. Koncové označení patch panelu a datových zásuvek bude: XSA.BBC kde „A“ je číslo podlaží, „BB“ je číslo zásuvky a „C“ je port zásuvky (A/B), např. XS1.</w:t>
      </w:r>
      <w:proofErr w:type="gramStart"/>
      <w:r w:rsidRPr="000E4D3F">
        <w:rPr>
          <w:rFonts w:asciiTheme="minorHAnsi" w:hAnsiTheme="minorHAnsi" w:cstheme="minorHAnsi"/>
        </w:rPr>
        <w:t>01A</w:t>
      </w:r>
      <w:proofErr w:type="gramEnd"/>
      <w:r w:rsidRPr="000E4D3F">
        <w:rPr>
          <w:rFonts w:asciiTheme="minorHAnsi" w:hAnsiTheme="minorHAnsi" w:cstheme="minorHAnsi"/>
        </w:rPr>
        <w:t xml:space="preserve">, XS1.01B. Označení patch panelu a přístupových bodů bude: WAPA.BB, kde „A“ je číslo podlaží a „BB“ je číslo přístupového bodu, např. WAP1.01. </w:t>
      </w:r>
    </w:p>
    <w:p w14:paraId="08AD6716" w14:textId="77777777" w:rsidR="000E4D3F" w:rsidRDefault="00467C21" w:rsidP="000E4D3F">
      <w:pPr>
        <w:spacing w:after="272"/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Kabelové rozvody strukturované kabeláže budou prováděny za omezeného provozu mimo výuku, zpravidla od 15:30 do 20:00 hod. Při provádění prací bude průběžně prováděn úklid dotčených místností. </w:t>
      </w:r>
    </w:p>
    <w:p w14:paraId="2C668816" w14:textId="7BED4BEC" w:rsidR="004B1486" w:rsidRPr="000E4D3F" w:rsidRDefault="00467C21" w:rsidP="000E4D3F">
      <w:pPr>
        <w:pStyle w:val="Odstavecseseznamem"/>
        <w:numPr>
          <w:ilvl w:val="0"/>
          <w:numId w:val="2"/>
        </w:numPr>
        <w:spacing w:after="272"/>
        <w:ind w:right="0"/>
        <w:jc w:val="both"/>
        <w:rPr>
          <w:rFonts w:asciiTheme="minorHAnsi" w:hAnsiTheme="minorHAnsi" w:cstheme="minorHAnsi"/>
          <w:b/>
          <w:bCs/>
        </w:rPr>
      </w:pPr>
      <w:r w:rsidRPr="000E4D3F">
        <w:rPr>
          <w:rFonts w:asciiTheme="minorHAnsi" w:hAnsiTheme="minorHAnsi" w:cstheme="minorHAnsi"/>
          <w:b/>
          <w:bCs/>
          <w:color w:val="auto"/>
        </w:rPr>
        <w:t xml:space="preserve">Demontáže </w:t>
      </w:r>
    </w:p>
    <w:p w14:paraId="747F90AD" w14:textId="754316CA" w:rsidR="004B1486" w:rsidRDefault="00467C21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Stávající kabelové rozvody strukturované kabeláže budou demontovány po provedení nových rozvodu strukturované kabeláže. </w:t>
      </w:r>
    </w:p>
    <w:p w14:paraId="29CE2EC2" w14:textId="65E48731" w:rsidR="000E4D3F" w:rsidRDefault="000E4D3F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</w:p>
    <w:p w14:paraId="0B233DEB" w14:textId="620B0F0D" w:rsidR="000E4D3F" w:rsidRDefault="000E4D3F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</w:p>
    <w:p w14:paraId="5D4D45C7" w14:textId="77777777" w:rsidR="000E4D3F" w:rsidRPr="000E4D3F" w:rsidRDefault="000E4D3F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</w:p>
    <w:p w14:paraId="5CDE3123" w14:textId="77777777" w:rsidR="004B1486" w:rsidRPr="000E4D3F" w:rsidRDefault="00467C21" w:rsidP="00467C21">
      <w:pPr>
        <w:spacing w:after="121" w:line="259" w:lineRule="auto"/>
        <w:ind w:left="0" w:right="0" w:firstLine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 </w:t>
      </w:r>
    </w:p>
    <w:p w14:paraId="204AEBC1" w14:textId="276B7F04" w:rsidR="000E4D3F" w:rsidRDefault="00467C21" w:rsidP="000E4D3F">
      <w:pPr>
        <w:pStyle w:val="Nadpis2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color w:val="auto"/>
          <w:sz w:val="22"/>
        </w:rPr>
      </w:pPr>
      <w:r w:rsidRPr="000E4D3F">
        <w:rPr>
          <w:rFonts w:asciiTheme="minorHAnsi" w:hAnsiTheme="minorHAnsi" w:cstheme="minorHAnsi"/>
          <w:b/>
          <w:bCs/>
          <w:color w:val="auto"/>
          <w:sz w:val="22"/>
        </w:rPr>
        <w:lastRenderedPageBreak/>
        <w:t xml:space="preserve">Elektromagnetická kompatibilita (EMC) </w:t>
      </w:r>
    </w:p>
    <w:p w14:paraId="61F47C24" w14:textId="77777777" w:rsidR="000E4D3F" w:rsidRPr="000E4D3F" w:rsidRDefault="000E4D3F" w:rsidP="000E4D3F"/>
    <w:p w14:paraId="235C5078" w14:textId="7B4B5A0D" w:rsidR="004B1486" w:rsidRDefault="00467C21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Dle zákona o technických požadavcích na výrobky c. 22/97 Sb. nařízení vlády c. 169/97 Sb. musí být přístroje včetně vybavení a instalací provedeny a instalovány tak, aby elektromagnetické rušení, které způsobují, nepřesáhlo povolenou </w:t>
      </w:r>
      <w:proofErr w:type="gramStart"/>
      <w:r w:rsidRPr="000E4D3F">
        <w:rPr>
          <w:rFonts w:asciiTheme="minorHAnsi" w:hAnsiTheme="minorHAnsi" w:cstheme="minorHAnsi"/>
        </w:rPr>
        <w:t>úroveň</w:t>
      </w:r>
      <w:proofErr w:type="gramEnd"/>
      <w:r w:rsidRPr="000E4D3F">
        <w:rPr>
          <w:rFonts w:asciiTheme="minorHAnsi" w:hAnsiTheme="minorHAnsi" w:cstheme="minorHAnsi"/>
        </w:rPr>
        <w:t xml:space="preserve"> a naopak musí mít odpovídající odolnost vůči vystavenému elektromagnetickému rušení, která jim umožnuje provoz v souladu se zamýšleným účelem. </w:t>
      </w:r>
    </w:p>
    <w:p w14:paraId="14CA90EC" w14:textId="77777777" w:rsidR="000E4D3F" w:rsidRPr="000E4D3F" w:rsidRDefault="000E4D3F" w:rsidP="00467C21">
      <w:pPr>
        <w:spacing w:after="0"/>
        <w:ind w:left="-5" w:right="0"/>
        <w:jc w:val="both"/>
        <w:rPr>
          <w:rFonts w:asciiTheme="minorHAnsi" w:hAnsiTheme="minorHAnsi" w:cstheme="minorHAnsi"/>
        </w:rPr>
      </w:pPr>
    </w:p>
    <w:p w14:paraId="2787C49E" w14:textId="77777777" w:rsidR="004B1486" w:rsidRPr="000E4D3F" w:rsidRDefault="00467C21" w:rsidP="00467C21">
      <w:pPr>
        <w:spacing w:after="0" w:line="259" w:lineRule="auto"/>
        <w:ind w:left="0" w:right="0" w:firstLine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 </w:t>
      </w:r>
    </w:p>
    <w:p w14:paraId="042467D3" w14:textId="05F8E4D7" w:rsidR="004B1486" w:rsidRDefault="00467C21" w:rsidP="000E4D3F">
      <w:pPr>
        <w:pStyle w:val="Nadpis2"/>
        <w:numPr>
          <w:ilvl w:val="0"/>
          <w:numId w:val="2"/>
        </w:numPr>
        <w:jc w:val="both"/>
        <w:rPr>
          <w:rFonts w:asciiTheme="minorHAnsi" w:hAnsiTheme="minorHAnsi" w:cstheme="minorHAnsi"/>
          <w:b/>
          <w:bCs/>
          <w:color w:val="auto"/>
          <w:sz w:val="22"/>
        </w:rPr>
      </w:pPr>
      <w:r w:rsidRPr="000E4D3F">
        <w:rPr>
          <w:rFonts w:asciiTheme="minorHAnsi" w:hAnsiTheme="minorHAnsi" w:cstheme="minorHAnsi"/>
          <w:b/>
          <w:bCs/>
          <w:color w:val="auto"/>
          <w:sz w:val="22"/>
        </w:rPr>
        <w:t xml:space="preserve">Technické podmínky pro provedení prací </w:t>
      </w:r>
    </w:p>
    <w:p w14:paraId="386FBF35" w14:textId="77777777" w:rsidR="000E4D3F" w:rsidRPr="000E4D3F" w:rsidRDefault="000E4D3F" w:rsidP="000E4D3F"/>
    <w:p w14:paraId="03AFBC4F" w14:textId="770A66D3" w:rsidR="004B1486" w:rsidRPr="000E4D3F" w:rsidRDefault="00467C21" w:rsidP="00467C21">
      <w:pPr>
        <w:spacing w:after="276"/>
        <w:ind w:left="-5" w:right="0"/>
        <w:jc w:val="both"/>
        <w:rPr>
          <w:rFonts w:asciiTheme="minorHAnsi" w:hAnsiTheme="minorHAnsi" w:cstheme="minorHAnsi"/>
        </w:rPr>
      </w:pPr>
      <w:r w:rsidRPr="000E4D3F">
        <w:rPr>
          <w:rFonts w:asciiTheme="minorHAnsi" w:hAnsiTheme="minorHAnsi" w:cstheme="minorHAnsi"/>
        </w:rPr>
        <w:t xml:space="preserve">Při montážních pracích musí být dodrženy technické podmínky výrobce kabelu (zejména dodržení předepsaných minimálních ohybu kabelu a tahových sil při ukládání kabelu). Montáž bude provedena tak, aby nedošlo k deformaci kabelu a následně ke zhoršení přenosových vlastností. Rozvody kabelu budou provedeny dle ČSN 34 2300, zejména je nutné dodržet podmínky souběhu vedení se silovými rozvody. Návrh zařízení je nutno provést v souladu s platnou ČSN 33 2000-5-51 (Výběr a stavby el. zařízení, vnější vlivy). </w:t>
      </w:r>
    </w:p>
    <w:p w14:paraId="2722201C" w14:textId="3A266C4D" w:rsidR="004B1486" w:rsidRPr="000E4D3F" w:rsidRDefault="004B1486" w:rsidP="00467C21">
      <w:pPr>
        <w:spacing w:after="0" w:line="259" w:lineRule="auto"/>
        <w:ind w:left="0" w:right="0" w:firstLine="0"/>
        <w:jc w:val="both"/>
        <w:rPr>
          <w:rFonts w:asciiTheme="minorHAnsi" w:hAnsiTheme="minorHAnsi" w:cstheme="minorHAnsi"/>
        </w:rPr>
      </w:pPr>
    </w:p>
    <w:sectPr w:rsidR="004B1486" w:rsidRPr="000E4D3F">
      <w:headerReference w:type="default" r:id="rId7"/>
      <w:pgSz w:w="11900" w:h="16840"/>
      <w:pgMar w:top="1470" w:right="1410" w:bottom="2037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79ECA" w14:textId="77777777" w:rsidR="000E4D3F" w:rsidRDefault="000E4D3F" w:rsidP="000E4D3F">
      <w:pPr>
        <w:spacing w:after="0" w:line="240" w:lineRule="auto"/>
      </w:pPr>
      <w:r>
        <w:separator/>
      </w:r>
    </w:p>
  </w:endnote>
  <w:endnote w:type="continuationSeparator" w:id="0">
    <w:p w14:paraId="448E7EFC" w14:textId="77777777" w:rsidR="000E4D3F" w:rsidRDefault="000E4D3F" w:rsidP="000E4D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6D8776" w14:textId="77777777" w:rsidR="000E4D3F" w:rsidRDefault="000E4D3F" w:rsidP="000E4D3F">
      <w:pPr>
        <w:spacing w:after="0" w:line="240" w:lineRule="auto"/>
      </w:pPr>
      <w:r>
        <w:separator/>
      </w:r>
    </w:p>
  </w:footnote>
  <w:footnote w:type="continuationSeparator" w:id="0">
    <w:p w14:paraId="5BB76145" w14:textId="77777777" w:rsidR="000E4D3F" w:rsidRDefault="000E4D3F" w:rsidP="000E4D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87D664" w14:textId="4D1F0563" w:rsidR="000E4D3F" w:rsidRDefault="000E4D3F" w:rsidP="000E4D3F">
    <w:pPr>
      <w:pStyle w:val="Zhlav"/>
      <w:tabs>
        <w:tab w:val="left" w:pos="7513"/>
      </w:tabs>
      <w:ind w:right="2" w:hanging="1679"/>
      <w:jc w:val="both"/>
    </w:pPr>
    <w:r>
      <w:rPr>
        <w:noProof/>
      </w:rPr>
      <w:drawing>
        <wp:inline distT="0" distB="0" distL="0" distR="0" wp14:anchorId="3A1E964F" wp14:editId="6498D180">
          <wp:extent cx="5705475" cy="518160"/>
          <wp:effectExtent l="0" t="0" r="9525" b="0"/>
          <wp:docPr id="1" name="Obrázek 1" descr="Novy logolink projekt 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0" descr="Novy logolink projekt CB.JP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05475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8F97045"/>
    <w:multiLevelType w:val="multilevel"/>
    <w:tmpl w:val="949C8AAC"/>
    <w:lvl w:ilvl="0">
      <w:start w:val="1"/>
      <w:numFmt w:val="decimal"/>
      <w:pStyle w:val="Nadpis1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pStyle w:val="Nadpis2"/>
      <w:lvlText w:val="%1.%2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2F5496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FA33B0D"/>
    <w:multiLevelType w:val="hybridMultilevel"/>
    <w:tmpl w:val="6A6E779E"/>
    <w:lvl w:ilvl="0" w:tplc="03AC358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97" w:hanging="360"/>
      </w:pPr>
    </w:lvl>
    <w:lvl w:ilvl="2" w:tplc="0405001B" w:tentative="1">
      <w:start w:val="1"/>
      <w:numFmt w:val="lowerRoman"/>
      <w:lvlText w:val="%3."/>
      <w:lvlJc w:val="right"/>
      <w:pPr>
        <w:ind w:left="2217" w:hanging="180"/>
      </w:pPr>
    </w:lvl>
    <w:lvl w:ilvl="3" w:tplc="0405000F" w:tentative="1">
      <w:start w:val="1"/>
      <w:numFmt w:val="decimal"/>
      <w:lvlText w:val="%4."/>
      <w:lvlJc w:val="left"/>
      <w:pPr>
        <w:ind w:left="2937" w:hanging="360"/>
      </w:pPr>
    </w:lvl>
    <w:lvl w:ilvl="4" w:tplc="04050019" w:tentative="1">
      <w:start w:val="1"/>
      <w:numFmt w:val="lowerLetter"/>
      <w:lvlText w:val="%5."/>
      <w:lvlJc w:val="left"/>
      <w:pPr>
        <w:ind w:left="3657" w:hanging="360"/>
      </w:pPr>
    </w:lvl>
    <w:lvl w:ilvl="5" w:tplc="0405001B" w:tentative="1">
      <w:start w:val="1"/>
      <w:numFmt w:val="lowerRoman"/>
      <w:lvlText w:val="%6."/>
      <w:lvlJc w:val="right"/>
      <w:pPr>
        <w:ind w:left="4377" w:hanging="180"/>
      </w:pPr>
    </w:lvl>
    <w:lvl w:ilvl="6" w:tplc="0405000F" w:tentative="1">
      <w:start w:val="1"/>
      <w:numFmt w:val="decimal"/>
      <w:lvlText w:val="%7."/>
      <w:lvlJc w:val="left"/>
      <w:pPr>
        <w:ind w:left="5097" w:hanging="360"/>
      </w:pPr>
    </w:lvl>
    <w:lvl w:ilvl="7" w:tplc="04050019" w:tentative="1">
      <w:start w:val="1"/>
      <w:numFmt w:val="lowerLetter"/>
      <w:lvlText w:val="%8."/>
      <w:lvlJc w:val="left"/>
      <w:pPr>
        <w:ind w:left="5817" w:hanging="360"/>
      </w:pPr>
    </w:lvl>
    <w:lvl w:ilvl="8" w:tplc="040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486"/>
    <w:rsid w:val="000E4D3F"/>
    <w:rsid w:val="00467C21"/>
    <w:rsid w:val="004B1486"/>
    <w:rsid w:val="00AC3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533B7"/>
  <w15:docId w15:val="{B8F5D5BD-9908-4A8C-AF60-FA0306B29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9" w:line="249" w:lineRule="auto"/>
      <w:ind w:left="1537" w:right="1481" w:hanging="10"/>
    </w:pPr>
    <w:rPr>
      <w:rFonts w:ascii="Calibri" w:eastAsia="Calibri" w:hAnsi="Calibri" w:cs="Calibri"/>
      <w:color w:val="000000"/>
    </w:rPr>
  </w:style>
  <w:style w:type="paragraph" w:styleId="Nadpis1">
    <w:name w:val="heading 1"/>
    <w:next w:val="Normln"/>
    <w:link w:val="Nadpis1Char"/>
    <w:uiPriority w:val="9"/>
    <w:qFormat/>
    <w:pPr>
      <w:keepNext/>
      <w:keepLines/>
      <w:numPr>
        <w:numId w:val="1"/>
      </w:numPr>
      <w:spacing w:after="0"/>
      <w:ind w:left="10" w:hanging="10"/>
      <w:outlineLvl w:val="0"/>
    </w:pPr>
    <w:rPr>
      <w:rFonts w:ascii="Calibri" w:eastAsia="Calibri" w:hAnsi="Calibri" w:cs="Calibri"/>
      <w:color w:val="2F5496"/>
      <w:sz w:val="32"/>
    </w:rPr>
  </w:style>
  <w:style w:type="paragraph" w:styleId="Nadpis2">
    <w:name w:val="heading 2"/>
    <w:next w:val="Normln"/>
    <w:link w:val="Nadpis2Char"/>
    <w:uiPriority w:val="9"/>
    <w:unhideWhenUsed/>
    <w:qFormat/>
    <w:pPr>
      <w:keepNext/>
      <w:keepLines/>
      <w:numPr>
        <w:ilvl w:val="1"/>
        <w:numId w:val="1"/>
      </w:numPr>
      <w:spacing w:after="0"/>
      <w:ind w:left="10" w:hanging="10"/>
      <w:outlineLvl w:val="1"/>
    </w:pPr>
    <w:rPr>
      <w:rFonts w:ascii="Calibri" w:eastAsia="Calibri" w:hAnsi="Calibri" w:cs="Calibri"/>
      <w:color w:val="2F5496"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link w:val="Nadpis2"/>
    <w:rPr>
      <w:rFonts w:ascii="Calibri" w:eastAsia="Calibri" w:hAnsi="Calibri" w:cs="Calibri"/>
      <w:color w:val="2F5496"/>
      <w:sz w:val="26"/>
    </w:rPr>
  </w:style>
  <w:style w:type="character" w:customStyle="1" w:styleId="Nadpis1Char">
    <w:name w:val="Nadpis 1 Char"/>
    <w:link w:val="Nadpis1"/>
    <w:rPr>
      <w:rFonts w:ascii="Calibri" w:eastAsia="Calibri" w:hAnsi="Calibri" w:cs="Calibri"/>
      <w:color w:val="2F5496"/>
      <w:sz w:val="32"/>
    </w:rPr>
  </w:style>
  <w:style w:type="paragraph" w:styleId="Odstavecseseznamem">
    <w:name w:val="List Paragraph"/>
    <w:basedOn w:val="Normln"/>
    <w:uiPriority w:val="34"/>
    <w:qFormat/>
    <w:rsid w:val="000E4D3F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E4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E4D3F"/>
    <w:rPr>
      <w:rFonts w:ascii="Calibri" w:eastAsia="Calibri" w:hAnsi="Calibri" w:cs="Calibri"/>
      <w:color w:val="000000"/>
    </w:rPr>
  </w:style>
  <w:style w:type="paragraph" w:styleId="Zpat">
    <w:name w:val="footer"/>
    <w:basedOn w:val="Normln"/>
    <w:link w:val="ZpatChar"/>
    <w:uiPriority w:val="99"/>
    <w:unhideWhenUsed/>
    <w:rsid w:val="000E4D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E4D3F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B9AA.62F4611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433</Words>
  <Characters>2556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Hodovský</dc:creator>
  <cp:keywords/>
  <cp:lastModifiedBy>Naďa Pálenská</cp:lastModifiedBy>
  <cp:revision>3</cp:revision>
  <dcterms:created xsi:type="dcterms:W3CDTF">2021-01-05T10:40:00Z</dcterms:created>
  <dcterms:modified xsi:type="dcterms:W3CDTF">2021-01-05T12:58:00Z</dcterms:modified>
</cp:coreProperties>
</file>