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A689" w14:textId="77777777" w:rsidR="0031756A" w:rsidRPr="0028757C" w:rsidRDefault="0031756A" w:rsidP="0031756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28757C">
        <w:rPr>
          <w:rFonts w:ascii="Calibri" w:eastAsia="Calibri" w:hAnsi="Calibri" w:cs="Calibri"/>
          <w:b/>
          <w:sz w:val="24"/>
          <w:szCs w:val="24"/>
        </w:rPr>
        <w:t xml:space="preserve">ČESTNÉ PROHLÁŠENÍ O SPLNĚNÍ TECHNICKÉ KVALIFIKACE  </w:t>
      </w:r>
    </w:p>
    <w:p w14:paraId="5050B4B4" w14:textId="77777777" w:rsidR="0031756A" w:rsidRPr="006C4DB3" w:rsidRDefault="0031756A" w:rsidP="0031756A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Řešení havarijního stavu vody a sociálních zařízení – II. etapa</w:t>
      </w:r>
    </w:p>
    <w:p w14:paraId="43313C8D" w14:textId="77777777" w:rsidR="0031756A" w:rsidRPr="006C4DB3" w:rsidRDefault="0031756A" w:rsidP="0031756A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Gymnázium Jana Blahoslava Ivančice, příspěvková organizace</w:t>
      </w:r>
    </w:p>
    <w:p w14:paraId="52ECBAEC" w14:textId="77777777" w:rsidR="0031756A" w:rsidRPr="006C4DB3" w:rsidRDefault="0031756A" w:rsidP="0031756A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Pr="00423EA0">
        <w:rPr>
          <w:rFonts w:ascii="Calibri" w:eastAsia="Calibri" w:hAnsi="Calibri" w:cs="Calibri"/>
          <w:b/>
          <w:shd w:val="clear" w:color="auto" w:fill="FFFFFF"/>
        </w:rPr>
        <w:t>66596769</w:t>
      </w:r>
    </w:p>
    <w:p w14:paraId="5ECBD76F" w14:textId="77777777" w:rsidR="0031756A" w:rsidRPr="006C4DB3" w:rsidRDefault="0031756A" w:rsidP="0031756A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4D14A626" w14:textId="77777777" w:rsidR="0031756A" w:rsidRPr="006C4DB3" w:rsidRDefault="0031756A" w:rsidP="0031756A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Druh výběrového řízení:</w:t>
      </w:r>
      <w:r w:rsidRPr="006C4DB3">
        <w:rPr>
          <w:rFonts w:ascii="Calibri" w:eastAsia="Calibri" w:hAnsi="Calibri" w:cs="Calibri"/>
        </w:rPr>
        <w:tab/>
      </w:r>
      <w:r w:rsidRPr="005E4041">
        <w:rPr>
          <w:rFonts w:ascii="Calibri" w:eastAsia="Calibri" w:hAnsi="Calibri" w:cs="Calibri"/>
          <w:b/>
        </w:rPr>
        <w:t>veřejná</w:t>
      </w:r>
      <w:r>
        <w:rPr>
          <w:rFonts w:ascii="Calibri" w:eastAsia="Calibri" w:hAnsi="Calibri" w:cs="Calibri"/>
        </w:rPr>
        <w:t xml:space="preserve"> </w:t>
      </w:r>
      <w:r w:rsidRPr="006C4DB3">
        <w:rPr>
          <w:rFonts w:ascii="Calibri" w:eastAsia="Calibri" w:hAnsi="Calibri" w:cs="Calibri"/>
          <w:b/>
        </w:rPr>
        <w:t>zakázka malého rozsahu</w:t>
      </w:r>
    </w:p>
    <w:p w14:paraId="2C36DE11" w14:textId="77777777" w:rsidR="0031756A" w:rsidRPr="0028757C" w:rsidRDefault="0031756A" w:rsidP="0031756A">
      <w:pPr>
        <w:rPr>
          <w:rFonts w:ascii="Calibri" w:eastAsia="Calibri" w:hAnsi="Calibri" w:cs="Calibri"/>
          <w:b/>
        </w:rPr>
      </w:pPr>
    </w:p>
    <w:p w14:paraId="4FF1F8FB" w14:textId="77777777" w:rsidR="0031756A" w:rsidRPr="0028757C" w:rsidRDefault="0031756A" w:rsidP="0031756A">
      <w:pPr>
        <w:jc w:val="center"/>
        <w:rPr>
          <w:rFonts w:ascii="Calibri" w:eastAsia="Calibri" w:hAnsi="Calibri" w:cs="Calibri"/>
          <w:b/>
        </w:rPr>
      </w:pPr>
      <w:r w:rsidRPr="0028757C">
        <w:rPr>
          <w:rFonts w:ascii="Calibri" w:eastAsia="Calibri" w:hAnsi="Calibri" w:cs="Calibri"/>
          <w:b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31756A" w:rsidRPr="0028757C" w14:paraId="50DF042D" w14:textId="77777777" w:rsidTr="009D378D">
        <w:trPr>
          <w:trHeight w:val="412"/>
        </w:trPr>
        <w:tc>
          <w:tcPr>
            <w:tcW w:w="4542" w:type="dxa"/>
            <w:shd w:val="clear" w:color="auto" w:fill="auto"/>
          </w:tcPr>
          <w:p w14:paraId="10E9A7FA" w14:textId="77777777" w:rsidR="0031756A" w:rsidRPr="0028757C" w:rsidRDefault="0031756A" w:rsidP="009D378D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520" w:type="dxa"/>
            <w:shd w:val="clear" w:color="auto" w:fill="FFFF00"/>
          </w:tcPr>
          <w:p w14:paraId="6EDDDFC9" w14:textId="77777777" w:rsidR="0031756A" w:rsidRPr="0028757C" w:rsidRDefault="0031756A" w:rsidP="009D378D">
            <w:pPr>
              <w:rPr>
                <w:rFonts w:ascii="Calibri" w:eastAsia="Calibri" w:hAnsi="Calibri" w:cs="Calibri"/>
              </w:rPr>
            </w:pPr>
          </w:p>
        </w:tc>
      </w:tr>
      <w:tr w:rsidR="0031756A" w:rsidRPr="0028757C" w14:paraId="5043A12F" w14:textId="77777777" w:rsidTr="009D378D">
        <w:tc>
          <w:tcPr>
            <w:tcW w:w="4542" w:type="dxa"/>
            <w:shd w:val="clear" w:color="auto" w:fill="auto"/>
          </w:tcPr>
          <w:p w14:paraId="16B00A64" w14:textId="77777777" w:rsidR="0031756A" w:rsidRPr="0028757C" w:rsidRDefault="0031756A" w:rsidP="009D378D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Sídlo účastníka výběrového řízení / místo podnikání</w:t>
            </w:r>
          </w:p>
        </w:tc>
        <w:tc>
          <w:tcPr>
            <w:tcW w:w="4520" w:type="dxa"/>
            <w:shd w:val="clear" w:color="auto" w:fill="FFFF00"/>
          </w:tcPr>
          <w:p w14:paraId="7A8B6236" w14:textId="77777777" w:rsidR="0031756A" w:rsidRPr="0028757C" w:rsidRDefault="0031756A" w:rsidP="009D378D">
            <w:pPr>
              <w:rPr>
                <w:rFonts w:ascii="Calibri" w:eastAsia="Calibri" w:hAnsi="Calibri" w:cs="Calibri"/>
              </w:rPr>
            </w:pPr>
          </w:p>
        </w:tc>
      </w:tr>
      <w:tr w:rsidR="0031756A" w:rsidRPr="0028757C" w14:paraId="449AA194" w14:textId="77777777" w:rsidTr="009D378D">
        <w:tc>
          <w:tcPr>
            <w:tcW w:w="4542" w:type="dxa"/>
            <w:shd w:val="clear" w:color="auto" w:fill="auto"/>
          </w:tcPr>
          <w:p w14:paraId="4D8B73BF" w14:textId="77777777" w:rsidR="0031756A" w:rsidRPr="0028757C" w:rsidRDefault="0031756A" w:rsidP="009D378D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20" w:type="dxa"/>
            <w:shd w:val="clear" w:color="auto" w:fill="FFFF00"/>
          </w:tcPr>
          <w:p w14:paraId="79E440E6" w14:textId="77777777" w:rsidR="0031756A" w:rsidRPr="0028757C" w:rsidRDefault="0031756A" w:rsidP="009D378D">
            <w:pPr>
              <w:rPr>
                <w:rFonts w:ascii="Calibri" w:eastAsia="Calibri" w:hAnsi="Calibri" w:cs="Calibri"/>
              </w:rPr>
            </w:pPr>
          </w:p>
        </w:tc>
      </w:tr>
      <w:tr w:rsidR="0031756A" w:rsidRPr="0028757C" w14:paraId="37B21069" w14:textId="77777777" w:rsidTr="009D378D">
        <w:tc>
          <w:tcPr>
            <w:tcW w:w="4542" w:type="dxa"/>
            <w:shd w:val="clear" w:color="auto" w:fill="auto"/>
          </w:tcPr>
          <w:p w14:paraId="7B358580" w14:textId="77777777" w:rsidR="0031756A" w:rsidRPr="0028757C" w:rsidRDefault="0031756A" w:rsidP="009D378D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20" w:type="dxa"/>
            <w:shd w:val="clear" w:color="auto" w:fill="FFFF00"/>
          </w:tcPr>
          <w:p w14:paraId="4F4F7E6E" w14:textId="77777777" w:rsidR="0031756A" w:rsidRPr="0028757C" w:rsidRDefault="0031756A" w:rsidP="009D378D">
            <w:pPr>
              <w:rPr>
                <w:rFonts w:ascii="Calibri" w:eastAsia="Calibri" w:hAnsi="Calibri" w:cs="Calibri"/>
              </w:rPr>
            </w:pPr>
          </w:p>
        </w:tc>
      </w:tr>
    </w:tbl>
    <w:p w14:paraId="452C6CCD" w14:textId="77777777" w:rsidR="0031756A" w:rsidRPr="0028757C" w:rsidRDefault="0031756A" w:rsidP="0031756A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Účastník</w:t>
      </w:r>
      <w:r w:rsidRPr="0028757C">
        <w:rPr>
          <w:rFonts w:ascii="Calibri" w:eastAsia="Calibri" w:hAnsi="Calibri" w:cs="Calibri"/>
        </w:rPr>
        <w:t xml:space="preserve"> tímto prohlašuje, že splňuje technické kvalifikační předpoklady v rozsahu stanoveném v rámci podrobných zadávacích podmínek, tzn. že v období uplynulých 5 let řádně a odborně provedl následující </w:t>
      </w:r>
      <w:r>
        <w:rPr>
          <w:rFonts w:ascii="Calibri" w:eastAsia="Calibri" w:hAnsi="Calibri" w:cs="Calibri"/>
        </w:rPr>
        <w:t>3</w:t>
      </w:r>
      <w:r w:rsidRPr="0028757C">
        <w:rPr>
          <w:rFonts w:ascii="Calibri" w:eastAsia="Calibri" w:hAnsi="Calibri" w:cs="Calibri"/>
        </w:rPr>
        <w:t xml:space="preserve"> nejvýznamnější stavební práce (stavby), </w:t>
      </w:r>
      <w:r w:rsidRPr="0028757C">
        <w:rPr>
          <w:rFonts w:ascii="Calibri" w:eastAsia="Calibri" w:hAnsi="Calibri" w:cs="Times New Roman"/>
        </w:rPr>
        <w:t xml:space="preserve">jejichž předmětem byla výstavba, nebo rekonstrukce </w:t>
      </w:r>
      <w:r>
        <w:rPr>
          <w:rFonts w:ascii="Calibri" w:eastAsia="Calibri" w:hAnsi="Calibri" w:cs="Times New Roman"/>
        </w:rPr>
        <w:t xml:space="preserve">objektů občanské vybavenosti, příp. bytové výstavby, </w:t>
      </w:r>
      <w:r w:rsidRPr="0028757C">
        <w:rPr>
          <w:rFonts w:ascii="Calibri" w:eastAsia="Calibri" w:hAnsi="Calibri" w:cs="Calibri"/>
        </w:rPr>
        <w:t xml:space="preserve">u nichž hodnota stavebních prací u každé z nich převýšila částku </w:t>
      </w:r>
      <w:r>
        <w:rPr>
          <w:rFonts w:ascii="Calibri" w:eastAsia="Calibri" w:hAnsi="Calibri" w:cs="Calibri"/>
        </w:rPr>
        <w:t>2.5</w:t>
      </w:r>
      <w:r w:rsidRPr="0028757C">
        <w:rPr>
          <w:rFonts w:ascii="Calibri" w:eastAsia="Calibri" w:hAnsi="Calibri" w:cs="Calibri"/>
        </w:rPr>
        <w:t xml:space="preserve">00 tis. Kč bez DPH.  Seznam nejvýznamnějších staveb:   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0"/>
        <w:gridCol w:w="1276"/>
        <w:gridCol w:w="1741"/>
        <w:gridCol w:w="1413"/>
        <w:gridCol w:w="1849"/>
      </w:tblGrid>
      <w:tr w:rsidR="0031756A" w:rsidRPr="0028757C" w14:paraId="06A53784" w14:textId="77777777" w:rsidTr="009D378D"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56DA73" w14:textId="77777777" w:rsidR="0031756A" w:rsidRPr="0028757C" w:rsidRDefault="0031756A" w:rsidP="009D378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8757C">
              <w:rPr>
                <w:rFonts w:ascii="Calibri" w:eastAsia="Calibri" w:hAnsi="Calibri" w:cs="Calibri"/>
              </w:rPr>
              <w:t>Poř</w:t>
            </w:r>
            <w:proofErr w:type="spellEnd"/>
            <w:r w:rsidRPr="0028757C">
              <w:rPr>
                <w:rFonts w:ascii="Calibri" w:eastAsia="Calibri" w:hAnsi="Calibri" w:cs="Calibri"/>
              </w:rPr>
              <w:t>.</w:t>
            </w:r>
          </w:p>
          <w:p w14:paraId="23074FC9" w14:textId="77777777" w:rsidR="0031756A" w:rsidRPr="0028757C" w:rsidRDefault="0031756A" w:rsidP="009D378D">
            <w:pPr>
              <w:spacing w:after="120"/>
              <w:ind w:left="-142" w:right="-108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C9BF9" w14:textId="77777777" w:rsidR="0031756A" w:rsidRPr="0028757C" w:rsidRDefault="0031756A" w:rsidP="009D378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Název stavebních prací (stavby)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488403" w14:textId="77777777" w:rsidR="0031756A" w:rsidRPr="0028757C" w:rsidRDefault="0031756A" w:rsidP="009D378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Místo provádění prací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0BFD37CB" w14:textId="77777777" w:rsidR="0031756A" w:rsidRPr="0028757C" w:rsidRDefault="0031756A" w:rsidP="009D378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Investor (objednatel stavebních prací)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520BEA" w14:textId="77777777" w:rsidR="0031756A" w:rsidRPr="0028757C" w:rsidRDefault="0031756A" w:rsidP="009D378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období provádění prací (zahájení – ukončení)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9FC715" w14:textId="77777777" w:rsidR="0031756A" w:rsidRPr="0028757C" w:rsidRDefault="0031756A" w:rsidP="009D378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Hodnota prováděných prací (Kč bez DPH)</w:t>
            </w:r>
          </w:p>
        </w:tc>
      </w:tr>
      <w:tr w:rsidR="0031756A" w:rsidRPr="0028757C" w14:paraId="1511B50E" w14:textId="77777777" w:rsidTr="009D378D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14:paraId="0B4F6FFD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shd w:val="clear" w:color="auto" w:fill="FFFF00"/>
          </w:tcPr>
          <w:p w14:paraId="0187F6C2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14:paraId="58122CA5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00"/>
          </w:tcPr>
          <w:p w14:paraId="4C478A50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FFFF00"/>
          </w:tcPr>
          <w:p w14:paraId="6F91F23B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FFF00"/>
          </w:tcPr>
          <w:p w14:paraId="4D06B319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31756A" w:rsidRPr="0028757C" w14:paraId="76009C14" w14:textId="77777777" w:rsidTr="009D378D">
        <w:tc>
          <w:tcPr>
            <w:tcW w:w="675" w:type="dxa"/>
            <w:shd w:val="clear" w:color="auto" w:fill="auto"/>
          </w:tcPr>
          <w:p w14:paraId="635B8DEF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70" w:type="dxa"/>
            <w:shd w:val="clear" w:color="auto" w:fill="FFFF00"/>
          </w:tcPr>
          <w:p w14:paraId="4A60FE56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060A1465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4BBD106D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2F2C061B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46F311D9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31756A" w:rsidRPr="0028757C" w14:paraId="13E4E796" w14:textId="77777777" w:rsidTr="009D378D">
        <w:tc>
          <w:tcPr>
            <w:tcW w:w="675" w:type="dxa"/>
            <w:shd w:val="clear" w:color="auto" w:fill="auto"/>
          </w:tcPr>
          <w:p w14:paraId="10709AD6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0" w:type="dxa"/>
            <w:shd w:val="clear" w:color="auto" w:fill="FFFF00"/>
          </w:tcPr>
          <w:p w14:paraId="4AF0C90D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125DD23D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345731D2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101F1FF5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1519A53E" w14:textId="77777777" w:rsidR="0031756A" w:rsidRPr="0028757C" w:rsidRDefault="0031756A" w:rsidP="009D378D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4F951179" w14:textId="77777777" w:rsidR="0031756A" w:rsidRPr="0028757C" w:rsidRDefault="0031756A" w:rsidP="0031756A">
      <w:pPr>
        <w:spacing w:after="120"/>
        <w:jc w:val="both"/>
        <w:rPr>
          <w:rFonts w:ascii="Calibri" w:eastAsia="Calibri" w:hAnsi="Calibri" w:cs="Calibri"/>
        </w:rPr>
      </w:pPr>
    </w:p>
    <w:p w14:paraId="24CC40B3" w14:textId="77777777" w:rsidR="0031756A" w:rsidRPr="0028757C" w:rsidRDefault="0031756A" w:rsidP="0031756A">
      <w:pPr>
        <w:spacing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Přílohou tohoto čestného prohlášení jsou osvědčení objednatelů výše uvedených stavebních prací o jejich řádném poskytnutí a dokončení. </w:t>
      </w:r>
    </w:p>
    <w:p w14:paraId="4ADAE287" w14:textId="77777777" w:rsidR="0031756A" w:rsidRPr="0028757C" w:rsidRDefault="0031756A" w:rsidP="0031756A">
      <w:pPr>
        <w:spacing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 V </w:t>
      </w:r>
      <w:r w:rsidRPr="0028757C">
        <w:rPr>
          <w:rFonts w:ascii="Calibri" w:eastAsia="Calibri" w:hAnsi="Calibri" w:cs="Calibri"/>
          <w:highlight w:val="yellow"/>
        </w:rPr>
        <w:t>……………….</w:t>
      </w:r>
      <w:r w:rsidRPr="0028757C">
        <w:rPr>
          <w:rFonts w:ascii="Calibri" w:eastAsia="Calibri" w:hAnsi="Calibri" w:cs="Calibri"/>
        </w:rPr>
        <w:t xml:space="preserve">  dne </w:t>
      </w:r>
      <w:r w:rsidRPr="0028757C">
        <w:rPr>
          <w:rFonts w:ascii="Calibri" w:eastAsia="Calibri" w:hAnsi="Calibri" w:cs="Calibri"/>
          <w:highlight w:val="yellow"/>
        </w:rPr>
        <w:t>………………</w:t>
      </w:r>
    </w:p>
    <w:p w14:paraId="4A31242B" w14:textId="77777777" w:rsidR="0031756A" w:rsidRPr="0028757C" w:rsidRDefault="0031756A" w:rsidP="0031756A">
      <w:pPr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>Jméno a příjmení osoby oprávněné jednat jménem či za účastníka výběrového řízení:</w:t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 w:rsidRPr="0028757C">
        <w:rPr>
          <w:rFonts w:ascii="Calibri" w:eastAsia="Calibri" w:hAnsi="Calibri" w:cs="Calibri"/>
          <w:highlight w:val="yellow"/>
        </w:rPr>
        <w:t>…….</w:t>
      </w:r>
      <w:proofErr w:type="gramEnd"/>
      <w:r w:rsidRPr="0028757C">
        <w:rPr>
          <w:rFonts w:ascii="Calibri" w:eastAsia="Calibri" w:hAnsi="Calibri" w:cs="Calibri"/>
          <w:highlight w:val="yellow"/>
        </w:rPr>
        <w:t>.</w:t>
      </w:r>
    </w:p>
    <w:p w14:paraId="5A455844" w14:textId="77777777" w:rsidR="0031756A" w:rsidRPr="0028757C" w:rsidRDefault="0031756A" w:rsidP="0031756A">
      <w:pPr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>Razítko a podpis osoby oprávněné jednat jménem či za účastníka výběrového řízení:</w:t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 w:rsidRPr="0028757C">
        <w:rPr>
          <w:rFonts w:ascii="Calibri" w:eastAsia="Calibri" w:hAnsi="Calibri" w:cs="Calibri"/>
          <w:highlight w:val="yellow"/>
        </w:rPr>
        <w:t>…….</w:t>
      </w:r>
      <w:proofErr w:type="gramEnd"/>
      <w:r w:rsidRPr="0028757C">
        <w:rPr>
          <w:rFonts w:ascii="Calibri" w:eastAsia="Calibri" w:hAnsi="Calibri" w:cs="Calibri"/>
          <w:highlight w:val="yellow"/>
        </w:rPr>
        <w:t>.</w:t>
      </w:r>
    </w:p>
    <w:p w14:paraId="31580FF5" w14:textId="77777777" w:rsidR="0031756A" w:rsidRDefault="0031756A" w:rsidP="0031756A">
      <w:r w:rsidRPr="004857D1">
        <w:rPr>
          <w:rFonts w:ascii="Calibri" w:eastAsia="Calibri" w:hAnsi="Calibri" w:cs="Calibri"/>
          <w:color w:val="0070C0"/>
        </w:rPr>
        <w:t>Pozn.: účastník výběrového řízení vyplní žlutě podbarvená pole</w:t>
      </w:r>
    </w:p>
    <w:p w14:paraId="1A68E905" w14:textId="77777777" w:rsidR="0031756A" w:rsidRDefault="0031756A" w:rsidP="0031756A"/>
    <w:p w14:paraId="618479F2" w14:textId="77777777" w:rsidR="002D29E0" w:rsidRDefault="002D29E0"/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6A"/>
    <w:rsid w:val="002D29E0"/>
    <w:rsid w:val="003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3420"/>
  <w15:chartTrackingRefBased/>
  <w15:docId w15:val="{01A6F0CC-7E93-4F87-A398-8504FBE3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2021-03-26T06:42:00Z</dcterms:created>
  <dcterms:modified xsi:type="dcterms:W3CDTF">2021-03-26T06:43:00Z</dcterms:modified>
</cp:coreProperties>
</file>