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1D7535" w:rsidRDefault="00127F87" w:rsidP="00127F87">
      <w:pPr>
        <w:pStyle w:val="Zhlav"/>
        <w:tabs>
          <w:tab w:val="left" w:pos="284"/>
          <w:tab w:val="center" w:pos="5244"/>
        </w:tabs>
        <w:spacing w:after="120"/>
        <w:jc w:val="center"/>
        <w:rPr>
          <w:b/>
          <w:bCs/>
          <w:smallCaps/>
          <w:spacing w:val="30"/>
          <w:sz w:val="40"/>
          <w:szCs w:val="40"/>
        </w:rPr>
      </w:pPr>
      <w:r w:rsidRPr="001D7535">
        <w:rPr>
          <w:b/>
          <w:bCs/>
          <w:smallCaps/>
          <w:spacing w:val="30"/>
          <w:sz w:val="40"/>
          <w:szCs w:val="40"/>
        </w:rPr>
        <w:t>Smlouva o dílo</w:t>
      </w:r>
    </w:p>
    <w:p w14:paraId="363ED954" w14:textId="51BE6A35" w:rsidR="00127F87" w:rsidRPr="000A7553" w:rsidRDefault="009F3F75" w:rsidP="003E5AFF">
      <w:pPr>
        <w:pStyle w:val="Zhlav"/>
        <w:spacing w:after="120"/>
        <w:jc w:val="center"/>
        <w:rPr>
          <w:b/>
          <w:bCs/>
          <w:color w:val="FF0000"/>
          <w:sz w:val="21"/>
          <w:szCs w:val="21"/>
        </w:rPr>
      </w:pPr>
      <w:r w:rsidRPr="009F3F75">
        <w:rPr>
          <w:b/>
          <w:bCs/>
          <w:smallCaps/>
          <w:spacing w:val="30"/>
          <w:sz w:val="36"/>
          <w:szCs w:val="36"/>
          <w:lang w:val="cs-CZ" w:eastAsia="cs-CZ"/>
        </w:rPr>
        <w:t xml:space="preserve">III/38715 Doubravník, most 38715-1 přes Svratku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2C7E187"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1D7535">
        <w:rPr>
          <w:sz w:val="21"/>
          <w:szCs w:val="21"/>
          <w:lang w:val="en-US"/>
        </w:rPr>
        <w:t>3</w:t>
      </w:r>
      <w:r w:rsidR="009F3F75">
        <w:rPr>
          <w:sz w:val="21"/>
          <w:szCs w:val="21"/>
          <w:lang w:val="en-US"/>
        </w:rPr>
        <w:t>8</w:t>
      </w:r>
      <w:r w:rsidR="001D7535">
        <w:rPr>
          <w:sz w:val="21"/>
          <w:szCs w:val="21"/>
          <w:lang w:val="en-US"/>
        </w:rPr>
        <w:t>7</w:t>
      </w:r>
      <w:r w:rsidR="009F3F75">
        <w:rPr>
          <w:sz w:val="21"/>
          <w:szCs w:val="21"/>
          <w:lang w:val="en-US"/>
        </w:rPr>
        <w:t>15-1</w:t>
      </w:r>
      <w:r w:rsidR="005A69C5" w:rsidRPr="005A69C5">
        <w:rPr>
          <w:bCs/>
          <w:sz w:val="21"/>
          <w:szCs w:val="21"/>
        </w:rPr>
        <w:t xml:space="preserve"> </w:t>
      </w:r>
      <w:r w:rsidRPr="005A69C5">
        <w:rPr>
          <w:sz w:val="21"/>
          <w:szCs w:val="21"/>
        </w:rPr>
        <w:t>(dále také „dílo“ nebo „stavba“).</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w:t>
      </w:r>
      <w:proofErr w:type="gramStart"/>
      <w:r w:rsidRPr="002A184D">
        <w:rPr>
          <w:sz w:val="21"/>
          <w:szCs w:val="21"/>
        </w:rPr>
        <w:t xml:space="preserve">úplné </w:t>
      </w:r>
      <w:r>
        <w:rPr>
          <w:sz w:val="21"/>
          <w:szCs w:val="21"/>
        </w:rPr>
        <w:t xml:space="preserve">                </w:t>
      </w:r>
      <w:r w:rsidRPr="002A184D">
        <w:rPr>
          <w:sz w:val="21"/>
          <w:szCs w:val="21"/>
        </w:rPr>
        <w:t>a bezvadné</w:t>
      </w:r>
      <w:proofErr w:type="gramEnd"/>
      <w:r w:rsidRPr="002A184D">
        <w:rPr>
          <w:sz w:val="21"/>
          <w:szCs w:val="21"/>
        </w:rPr>
        <w:t xml:space="preserve"> předány objednateli ve lhůtách touto smlouvou sjednaných. </w:t>
      </w:r>
    </w:p>
    <w:p w14:paraId="5785B688" w14:textId="19E76250" w:rsidR="009363C8" w:rsidRPr="005A69C5" w:rsidRDefault="009363C8" w:rsidP="009363C8">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1D7535">
        <w:rPr>
          <w:sz w:val="21"/>
          <w:szCs w:val="21"/>
        </w:rPr>
        <w:t>3</w:t>
      </w:r>
      <w:r w:rsidR="009F3F75">
        <w:rPr>
          <w:sz w:val="21"/>
          <w:szCs w:val="21"/>
        </w:rPr>
        <w:t>8</w:t>
      </w:r>
      <w:r w:rsidR="001D7535">
        <w:rPr>
          <w:sz w:val="21"/>
          <w:szCs w:val="21"/>
        </w:rPr>
        <w:t>7</w:t>
      </w:r>
      <w:r w:rsidR="009F3F75">
        <w:rPr>
          <w:sz w:val="21"/>
          <w:szCs w:val="21"/>
        </w:rPr>
        <w:t>15-1</w:t>
      </w:r>
      <w:r w:rsidR="005A69C5"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F52244" w:rsidRPr="005A69C5">
        <w:rPr>
          <w:bCs/>
          <w:sz w:val="21"/>
          <w:szCs w:val="21"/>
        </w:rPr>
        <w:t>II</w:t>
      </w:r>
      <w:r w:rsidR="009F3F75">
        <w:rPr>
          <w:bCs/>
          <w:sz w:val="21"/>
          <w:szCs w:val="21"/>
        </w:rPr>
        <w:t>I</w:t>
      </w:r>
      <w:r w:rsidR="00F52244" w:rsidRPr="005A69C5">
        <w:rPr>
          <w:bCs/>
          <w:sz w:val="21"/>
          <w:szCs w:val="21"/>
        </w:rPr>
        <w:t>/</w:t>
      </w:r>
      <w:r w:rsidR="005A69C5" w:rsidRPr="005A69C5">
        <w:rPr>
          <w:bCs/>
          <w:sz w:val="21"/>
          <w:szCs w:val="21"/>
        </w:rPr>
        <w:t>3</w:t>
      </w:r>
      <w:r w:rsidR="009F3F75">
        <w:rPr>
          <w:bCs/>
          <w:sz w:val="21"/>
          <w:szCs w:val="21"/>
        </w:rPr>
        <w:t>8</w:t>
      </w:r>
      <w:r w:rsidR="001D7535">
        <w:rPr>
          <w:bCs/>
          <w:sz w:val="21"/>
          <w:szCs w:val="21"/>
        </w:rPr>
        <w:t>7</w:t>
      </w:r>
      <w:r w:rsidR="009F3F75">
        <w:rPr>
          <w:bCs/>
          <w:sz w:val="21"/>
          <w:szCs w:val="21"/>
        </w:rPr>
        <w:t>15</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639DE81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www.pjpk.cz</w:t>
        </w:r>
      </w:hyperlink>
      <w:r>
        <w:rPr>
          <w:sz w:val="21"/>
          <w:szCs w:val="21"/>
        </w:rPr>
        <w:t xml:space="preserve"> ).</w:t>
      </w:r>
      <w:bookmarkStart w:id="0" w:name="_GoBack"/>
      <w:bookmarkEnd w:id="0"/>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59AC6463" w14:textId="122EBDDA" w:rsidR="00AF27F5" w:rsidRPr="00AF27F5" w:rsidRDefault="00AF27F5" w:rsidP="0081599C">
      <w:pPr>
        <w:numPr>
          <w:ilvl w:val="0"/>
          <w:numId w:val="11"/>
        </w:numPr>
        <w:tabs>
          <w:tab w:val="clear" w:pos="360"/>
          <w:tab w:val="left" w:pos="540"/>
          <w:tab w:val="num" w:pos="567"/>
        </w:tabs>
        <w:spacing w:before="120" w:after="120"/>
        <w:ind w:left="567" w:hanging="567"/>
        <w:jc w:val="both"/>
        <w:rPr>
          <w:sz w:val="21"/>
          <w:szCs w:val="21"/>
        </w:rPr>
      </w:pPr>
      <w:r w:rsidRPr="001609CD">
        <w:rPr>
          <w:sz w:val="21"/>
          <w:szCs w:val="21"/>
        </w:rPr>
        <w:t>Zhotovitel je povinen umožnit případný archeologický dohled nad prováděnými stavebními pracemi a v případě nálezu záchranný archeologický průzkum.</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lastRenderedPageBreak/>
        <w:t>vytýčení staveniště</w:t>
      </w:r>
      <w:r w:rsidR="00F85C1A" w:rsidRPr="0094620A">
        <w:rPr>
          <w:sz w:val="21"/>
          <w:szCs w:val="21"/>
        </w:rPr>
        <w:t>;</w:t>
      </w:r>
    </w:p>
    <w:p w14:paraId="67BF5531" w14:textId="129901DC"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w:t>
      </w:r>
      <w:r w:rsidR="00AF27F5">
        <w:rPr>
          <w:sz w:val="21"/>
          <w:szCs w:val="21"/>
        </w:rPr>
        <w:t xml:space="preserve"> </w:t>
      </w:r>
      <w:r w:rsidRPr="0094620A">
        <w:rPr>
          <w:sz w:val="21"/>
          <w:szCs w:val="21"/>
        </w:rPr>
        <w:t>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47259334" w:rsidR="00C82FE0" w:rsidRPr="001D7535" w:rsidRDefault="001D7535" w:rsidP="00C82FE0">
      <w:pPr>
        <w:pStyle w:val="Zhlav"/>
        <w:spacing w:after="120"/>
        <w:jc w:val="both"/>
        <w:rPr>
          <w:bCs/>
          <w:sz w:val="21"/>
          <w:szCs w:val="21"/>
          <w:lang w:val="cs-CZ"/>
        </w:rPr>
      </w:pPr>
      <w:r w:rsidRPr="001D7535">
        <w:rPr>
          <w:bCs/>
          <w:sz w:val="21"/>
          <w:szCs w:val="21"/>
          <w:lang w:val="cs-CZ"/>
        </w:rPr>
        <w:t>Ing. Miloš Bažant</w:t>
      </w:r>
      <w:r w:rsidR="006F0F77" w:rsidRPr="001D7535">
        <w:rPr>
          <w:bCs/>
          <w:sz w:val="21"/>
          <w:szCs w:val="21"/>
        </w:rPr>
        <w:t xml:space="preserve">, vedoucí oblasti </w:t>
      </w:r>
      <w:r w:rsidRPr="001D7535">
        <w:rPr>
          <w:bCs/>
          <w:sz w:val="21"/>
          <w:szCs w:val="21"/>
          <w:lang w:val="cs-CZ"/>
        </w:rPr>
        <w:t>Sever</w:t>
      </w:r>
      <w:r w:rsidR="005A69C5" w:rsidRPr="001D7535">
        <w:rPr>
          <w:bCs/>
          <w:sz w:val="21"/>
          <w:szCs w:val="21"/>
          <w:lang w:val="cs-CZ"/>
        </w:rPr>
        <w:t>,</w:t>
      </w:r>
      <w:r w:rsidR="006F0F77" w:rsidRPr="001D7535">
        <w:rPr>
          <w:bCs/>
          <w:sz w:val="21"/>
          <w:szCs w:val="21"/>
        </w:rPr>
        <w:t xml:space="preserve"> tel.: +420</w:t>
      </w:r>
      <w:r w:rsidR="005A69C5" w:rsidRPr="001D7535">
        <w:rPr>
          <w:bCs/>
          <w:sz w:val="21"/>
          <w:szCs w:val="21"/>
        </w:rPr>
        <w:t> </w:t>
      </w:r>
      <w:r w:rsidR="005A69C5" w:rsidRPr="001D7535">
        <w:rPr>
          <w:bCs/>
          <w:sz w:val="21"/>
          <w:szCs w:val="21"/>
          <w:lang w:val="cs-CZ"/>
        </w:rPr>
        <w:t>5</w:t>
      </w:r>
      <w:r w:rsidRPr="001D7535">
        <w:rPr>
          <w:bCs/>
          <w:sz w:val="21"/>
          <w:szCs w:val="21"/>
          <w:lang w:val="cs-CZ"/>
        </w:rPr>
        <w:t>47 120 358</w:t>
      </w:r>
    </w:p>
    <w:p w14:paraId="385714FB" w14:textId="63F0D9C9" w:rsidR="00C82FE0" w:rsidRPr="001D7535" w:rsidRDefault="00C82FE0" w:rsidP="00C82FE0">
      <w:pPr>
        <w:tabs>
          <w:tab w:val="center" w:pos="4536"/>
          <w:tab w:val="right" w:pos="9072"/>
        </w:tabs>
        <w:spacing w:after="120"/>
        <w:jc w:val="both"/>
        <w:outlineLvl w:val="0"/>
        <w:rPr>
          <w:bCs/>
          <w:sz w:val="21"/>
          <w:szCs w:val="21"/>
        </w:rPr>
      </w:pPr>
      <w:r w:rsidRPr="001D7535">
        <w:rPr>
          <w:bCs/>
          <w:sz w:val="21"/>
          <w:szCs w:val="21"/>
        </w:rPr>
        <w:t xml:space="preserve">e-mail: </w:t>
      </w:r>
      <w:hyperlink r:id="rId11" w:history="1">
        <w:r w:rsidR="001D7535" w:rsidRPr="001D7535">
          <w:rPr>
            <w:rStyle w:val="Hypertextovodkaz"/>
            <w:rFonts w:eastAsia="Calibri"/>
            <w:sz w:val="21"/>
            <w:szCs w:val="21"/>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5778D68" w:rsidR="00C82FE0" w:rsidRDefault="001D7535" w:rsidP="00C82FE0">
      <w:pPr>
        <w:tabs>
          <w:tab w:val="center" w:pos="4536"/>
          <w:tab w:val="right" w:pos="9072"/>
        </w:tabs>
        <w:spacing w:after="120"/>
        <w:jc w:val="both"/>
        <w:outlineLvl w:val="0"/>
        <w:rPr>
          <w:bCs/>
          <w:color w:val="000000" w:themeColor="text1"/>
          <w:sz w:val="21"/>
          <w:szCs w:val="21"/>
        </w:rPr>
      </w:pPr>
      <w:r w:rsidRPr="001D7535">
        <w:rPr>
          <w:bCs/>
          <w:color w:val="000000" w:themeColor="text1"/>
          <w:sz w:val="21"/>
          <w:szCs w:val="21"/>
        </w:rPr>
        <w:t>Ing. Zdeněk Hradecký</w:t>
      </w:r>
      <w:r w:rsidR="006F0F77">
        <w:rPr>
          <w:bCs/>
          <w:color w:val="000000" w:themeColor="text1"/>
          <w:sz w:val="21"/>
          <w:szCs w:val="21"/>
        </w:rPr>
        <w:t>, mostní inspektor oblasti</w:t>
      </w:r>
      <w:r>
        <w:rPr>
          <w:bCs/>
          <w:color w:val="000000" w:themeColor="text1"/>
          <w:sz w:val="21"/>
          <w:szCs w:val="21"/>
        </w:rPr>
        <w:t xml:space="preserve"> Sever</w:t>
      </w:r>
    </w:p>
    <w:p w14:paraId="2C99F1DF" w14:textId="483F0BA3"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1D7535" w:rsidRPr="001D7535">
          <w:rPr>
            <w:rStyle w:val="Hypertextovodkaz"/>
            <w:bCs/>
            <w:sz w:val="21"/>
            <w:szCs w:val="21"/>
          </w:rPr>
          <w:t>zdenek.hradecky@susjmk.cz</w:t>
        </w:r>
      </w:hyperlink>
      <w:r w:rsidR="006F0F77">
        <w:rPr>
          <w:bCs/>
          <w:color w:val="000000" w:themeColor="text1"/>
          <w:sz w:val="21"/>
          <w:szCs w:val="21"/>
        </w:rPr>
        <w:t>, tel: +420</w:t>
      </w:r>
      <w:r w:rsidR="001D7535">
        <w:rPr>
          <w:bCs/>
          <w:color w:val="000000" w:themeColor="text1"/>
          <w:sz w:val="21"/>
          <w:szCs w:val="21"/>
        </w:rPr>
        <w:t> </w:t>
      </w:r>
      <w:r w:rsidR="005A69C5">
        <w:rPr>
          <w:bCs/>
          <w:color w:val="000000" w:themeColor="text1"/>
          <w:sz w:val="21"/>
          <w:szCs w:val="21"/>
        </w:rPr>
        <w:t>5</w:t>
      </w:r>
      <w:r w:rsidR="001D7535">
        <w:rPr>
          <w:bCs/>
          <w:color w:val="000000" w:themeColor="text1"/>
          <w:sz w:val="21"/>
          <w:szCs w:val="21"/>
        </w:rPr>
        <w:t>47 120 379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05ED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05ED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05ED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05EDF">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05EDF">
              <w:rPr>
                <w:sz w:val="20"/>
              </w:rPr>
            </w:r>
            <w:r w:rsidR="00A05EDF">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05EDF">
              <w:rPr>
                <w:sz w:val="22"/>
              </w:rPr>
            </w:r>
            <w:r w:rsidR="00A05EDF">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05EDF">
              <w:rPr>
                <w:sz w:val="22"/>
              </w:rPr>
            </w:r>
            <w:r w:rsidR="00A05EDF">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4"/>
      <w:footerReference w:type="default" r:id="rId15"/>
      <w:headerReference w:type="first" r:id="rId16"/>
      <w:footerReference w:type="first" r:id="rId17"/>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05EDF">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05EDF">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05ED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05EDF">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1E29C7B8" w:rsidR="00F478DE" w:rsidRPr="00700F92" w:rsidRDefault="009F3F75" w:rsidP="005066B6">
          <w:pPr>
            <w:tabs>
              <w:tab w:val="left" w:pos="810"/>
            </w:tabs>
            <w:rPr>
              <w:b/>
              <w:spacing w:val="20"/>
              <w:sz w:val="21"/>
              <w:szCs w:val="21"/>
            </w:rPr>
          </w:pPr>
          <w:r w:rsidRPr="009F3F75">
            <w:rPr>
              <w:b/>
              <w:bCs/>
              <w:i/>
              <w:smallCaps/>
              <w:spacing w:val="30"/>
              <w:sz w:val="16"/>
              <w:szCs w:val="16"/>
            </w:rPr>
            <w:t>III/38715 Doubravník, most 38715-1 přes Svratku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33279084" w:rsidR="00FD474E" w:rsidRPr="00FD474E" w:rsidRDefault="009F3F75" w:rsidP="00BE7101">
          <w:pPr>
            <w:tabs>
              <w:tab w:val="left" w:pos="810"/>
            </w:tabs>
            <w:rPr>
              <w:b/>
              <w:bCs/>
              <w:i/>
              <w:smallCaps/>
              <w:spacing w:val="30"/>
              <w:sz w:val="16"/>
              <w:szCs w:val="16"/>
              <w:lang w:val="en-US"/>
            </w:rPr>
          </w:pPr>
          <w:r w:rsidRPr="009F3F75">
            <w:rPr>
              <w:b/>
              <w:bCs/>
              <w:i/>
              <w:smallCaps/>
              <w:spacing w:val="30"/>
              <w:sz w:val="16"/>
              <w:szCs w:val="16"/>
            </w:rPr>
            <w:t>III/38715 Doubravník, most 38715-1 přes Svratku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D753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1599C"/>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9F3F75"/>
    <w:rsid w:val="00A045CC"/>
    <w:rsid w:val="00A05EDF"/>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27F5"/>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denek.hradecky@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7D3FB-A284-4C46-8E38-F9C85A9B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4385</Words>
  <Characters>25874</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16</cp:revision>
  <cp:lastPrinted>2022-07-12T04:59:00Z</cp:lastPrinted>
  <dcterms:created xsi:type="dcterms:W3CDTF">2022-07-18T04:50:00Z</dcterms:created>
  <dcterms:modified xsi:type="dcterms:W3CDTF">2022-07-21T12:23:00Z</dcterms:modified>
</cp:coreProperties>
</file>