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652E" w14:textId="677DF7DE" w:rsidR="002C0679" w:rsidRPr="00726CED" w:rsidRDefault="009143CC" w:rsidP="009143CC">
      <w:pPr>
        <w:spacing w:after="240"/>
        <w:jc w:val="center"/>
        <w:rPr>
          <w:b/>
          <w:bCs/>
          <w:sz w:val="28"/>
          <w:szCs w:val="28"/>
        </w:rPr>
      </w:pPr>
      <w:r w:rsidRPr="00726CED">
        <w:rPr>
          <w:b/>
          <w:bCs/>
          <w:sz w:val="28"/>
          <w:szCs w:val="28"/>
        </w:rPr>
        <w:t>Kontrolní list pro vyhodnocení sociálního a environmentálního odpovědného zadávání</w:t>
      </w:r>
      <w:r w:rsidR="00726CED" w:rsidRPr="00726CED">
        <w:rPr>
          <w:b/>
          <w:bCs/>
          <w:sz w:val="28"/>
          <w:szCs w:val="28"/>
        </w:rPr>
        <w:t> </w:t>
      </w:r>
      <w:r w:rsidRPr="00726CED">
        <w:rPr>
          <w:b/>
          <w:bCs/>
          <w:sz w:val="28"/>
          <w:szCs w:val="28"/>
        </w:rPr>
        <w:t xml:space="preserve">a inovací </w:t>
      </w:r>
    </w:p>
    <w:p w14:paraId="321F55F5" w14:textId="1B03CCB1" w:rsidR="00ED0314" w:rsidRPr="007A4AB3" w:rsidRDefault="00364260" w:rsidP="009143CC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 veřejn</w:t>
      </w:r>
      <w:r w:rsidR="009143CC" w:rsidRPr="007A4AB3">
        <w:rPr>
          <w:b/>
          <w:bCs/>
          <w:sz w:val="28"/>
          <w:szCs w:val="28"/>
        </w:rPr>
        <w:t>é zakázce</w:t>
      </w:r>
      <w:r>
        <w:rPr>
          <w:b/>
          <w:bCs/>
          <w:sz w:val="28"/>
          <w:szCs w:val="28"/>
        </w:rPr>
        <w:t xml:space="preserve"> malého rozsahu</w:t>
      </w:r>
      <w:r w:rsidR="007A4AB3" w:rsidRPr="007A4AB3">
        <w:rPr>
          <w:rFonts w:ascii="Calibri" w:hAnsi="Calibri" w:cs="Calibri"/>
          <w:b/>
          <w:bCs/>
          <w:sz w:val="28"/>
          <w:szCs w:val="28"/>
        </w:rPr>
        <w:t xml:space="preserve"> na </w:t>
      </w:r>
      <w:r w:rsidR="00A008FB">
        <w:rPr>
          <w:rFonts w:ascii="Calibri" w:hAnsi="Calibri" w:cs="Calibri"/>
          <w:b/>
          <w:bCs/>
          <w:sz w:val="28"/>
          <w:szCs w:val="28"/>
        </w:rPr>
        <w:t>služby</w:t>
      </w:r>
      <w:r w:rsidR="007A4AB3" w:rsidRPr="007A4AB3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C0679" w:rsidRPr="007A4AB3">
        <w:rPr>
          <w:b/>
          <w:bCs/>
          <w:sz w:val="28"/>
          <w:szCs w:val="28"/>
        </w:rPr>
        <w:t xml:space="preserve"> </w:t>
      </w:r>
    </w:p>
    <w:p w14:paraId="4A2A1D41" w14:textId="1B66CB45" w:rsidR="009143CC" w:rsidRPr="000E181E" w:rsidRDefault="003F4B6E" w:rsidP="009143CC">
      <w:pPr>
        <w:spacing w:after="240"/>
        <w:jc w:val="center"/>
        <w:rPr>
          <w:b/>
          <w:bCs/>
          <w:sz w:val="28"/>
          <w:szCs w:val="28"/>
        </w:rPr>
      </w:pPr>
      <w:r w:rsidRPr="000E181E">
        <w:rPr>
          <w:b/>
          <w:bCs/>
          <w:sz w:val="28"/>
          <w:szCs w:val="28"/>
        </w:rPr>
        <w:t xml:space="preserve"> </w:t>
      </w:r>
      <w:r w:rsidR="00295EE6" w:rsidRPr="000E181E">
        <w:rPr>
          <w:b/>
          <w:bCs/>
          <w:sz w:val="28"/>
          <w:szCs w:val="28"/>
        </w:rPr>
        <w:t>„</w:t>
      </w:r>
      <w:r w:rsidR="00A008FB" w:rsidRPr="00A008FB">
        <w:rPr>
          <w:b/>
          <w:bCs/>
          <w:sz w:val="28"/>
          <w:szCs w:val="28"/>
        </w:rPr>
        <w:t xml:space="preserve">PD na stavební úpravy </w:t>
      </w:r>
      <w:proofErr w:type="spellStart"/>
      <w:r w:rsidR="00A008FB" w:rsidRPr="00A008FB">
        <w:rPr>
          <w:b/>
          <w:bCs/>
          <w:sz w:val="28"/>
          <w:szCs w:val="28"/>
        </w:rPr>
        <w:t>obj</w:t>
      </w:r>
      <w:proofErr w:type="spellEnd"/>
      <w:r w:rsidR="00A008FB" w:rsidRPr="00A008FB">
        <w:rPr>
          <w:b/>
          <w:bCs/>
          <w:sz w:val="28"/>
          <w:szCs w:val="28"/>
        </w:rPr>
        <w:t>. B 1.NP centrální šatny</w:t>
      </w:r>
      <w:r w:rsidR="00295EE6" w:rsidRPr="000E181E">
        <w:rPr>
          <w:rFonts w:cstheme="minorHAnsi"/>
          <w:b/>
          <w:bCs/>
          <w:sz w:val="28"/>
          <w:szCs w:val="28"/>
        </w:rPr>
        <w:t>“</w:t>
      </w:r>
    </w:p>
    <w:tbl>
      <w:tblPr>
        <w:tblStyle w:val="Mkatabulky"/>
        <w:tblW w:w="10070" w:type="dxa"/>
        <w:tblLook w:val="04A0" w:firstRow="1" w:lastRow="0" w:firstColumn="1" w:lastColumn="0" w:noHBand="0" w:noVBand="1"/>
      </w:tblPr>
      <w:tblGrid>
        <w:gridCol w:w="4180"/>
        <w:gridCol w:w="2478"/>
        <w:gridCol w:w="3412"/>
      </w:tblGrid>
      <w:tr w:rsidR="009143CC" w:rsidRPr="00726CED" w14:paraId="692B6968" w14:textId="77777777" w:rsidTr="00E7290A">
        <w:trPr>
          <w:cantSplit/>
        </w:trPr>
        <w:tc>
          <w:tcPr>
            <w:tcW w:w="4180" w:type="dxa"/>
            <w:vAlign w:val="center"/>
          </w:tcPr>
          <w:p w14:paraId="1CDFD5DD" w14:textId="0471F985" w:rsidR="009143CC" w:rsidRPr="00726CED" w:rsidRDefault="009143CC" w:rsidP="009143CC">
            <w:pPr>
              <w:spacing w:before="120" w:after="120"/>
              <w:jc w:val="center"/>
              <w:rPr>
                <w:b/>
                <w:bCs/>
              </w:rPr>
            </w:pPr>
            <w:r w:rsidRPr="00726CED">
              <w:rPr>
                <w:b/>
                <w:bCs/>
              </w:rPr>
              <w:t>Aspekty odpovědného veřejného zadávání či inovací, které je možné zohlednit ve veřejné zakázce</w:t>
            </w:r>
          </w:p>
        </w:tc>
        <w:tc>
          <w:tcPr>
            <w:tcW w:w="2478" w:type="dxa"/>
            <w:vAlign w:val="center"/>
          </w:tcPr>
          <w:p w14:paraId="521C402C" w14:textId="6421C7F9" w:rsidR="009143CC" w:rsidRPr="00726CED" w:rsidRDefault="000D7BCB" w:rsidP="009143CC">
            <w:pPr>
              <w:spacing w:before="120" w:after="120"/>
              <w:jc w:val="center"/>
              <w:rPr>
                <w:b/>
                <w:bCs/>
              </w:rPr>
            </w:pPr>
            <w:r w:rsidRPr="00726CED">
              <w:rPr>
                <w:b/>
                <w:bCs/>
              </w:rPr>
              <w:t>Z</w:t>
            </w:r>
            <w:r w:rsidR="009143CC" w:rsidRPr="00726CED">
              <w:rPr>
                <w:b/>
                <w:bCs/>
              </w:rPr>
              <w:t xml:space="preserve">ohlednění </w:t>
            </w:r>
            <w:r w:rsidR="00A27F64" w:rsidRPr="00726CED">
              <w:rPr>
                <w:b/>
                <w:bCs/>
              </w:rPr>
              <w:t>aspektu</w:t>
            </w:r>
            <w:r w:rsidR="009143CC" w:rsidRPr="00726CED">
              <w:rPr>
                <w:b/>
                <w:bCs/>
              </w:rPr>
              <w:t xml:space="preserve"> OVZ a inovací </w:t>
            </w:r>
            <w:r w:rsidR="005452B7" w:rsidRPr="00726CED">
              <w:rPr>
                <w:b/>
                <w:bCs/>
              </w:rPr>
              <w:t xml:space="preserve">u dané zakázky </w:t>
            </w:r>
            <w:r w:rsidR="009143CC" w:rsidRPr="00726CED">
              <w:rPr>
                <w:b/>
                <w:bCs/>
              </w:rPr>
              <w:t>(ano/ne/nerelevantní)</w:t>
            </w:r>
          </w:p>
        </w:tc>
        <w:tc>
          <w:tcPr>
            <w:tcW w:w="3412" w:type="dxa"/>
            <w:vAlign w:val="center"/>
          </w:tcPr>
          <w:p w14:paraId="20D6BD5D" w14:textId="5D840B7E" w:rsidR="009143CC" w:rsidRPr="00726CED" w:rsidRDefault="009143CC" w:rsidP="00046746">
            <w:pPr>
              <w:spacing w:before="120" w:after="120"/>
              <w:jc w:val="center"/>
              <w:rPr>
                <w:b/>
                <w:bCs/>
              </w:rPr>
            </w:pPr>
            <w:r w:rsidRPr="00726CED">
              <w:rPr>
                <w:b/>
                <w:bCs/>
              </w:rPr>
              <w:t>Jaká opatření budou přijata? Případně proč aspekt OVZ či inovace využi</w:t>
            </w:r>
            <w:r w:rsidR="00245BAC" w:rsidRPr="00726CED">
              <w:rPr>
                <w:b/>
                <w:bCs/>
              </w:rPr>
              <w:t>ty nebudou</w:t>
            </w:r>
            <w:r w:rsidR="00AF676D" w:rsidRPr="00726CED">
              <w:rPr>
                <w:b/>
                <w:bCs/>
              </w:rPr>
              <w:t xml:space="preserve"> (proč </w:t>
            </w:r>
            <w:r w:rsidR="008C09A3" w:rsidRPr="00726CED">
              <w:rPr>
                <w:b/>
                <w:bCs/>
              </w:rPr>
              <w:t>nebudou zohledněny</w:t>
            </w:r>
            <w:r w:rsidR="00ED2EDA" w:rsidRPr="00726CED">
              <w:rPr>
                <w:b/>
                <w:bCs/>
              </w:rPr>
              <w:t xml:space="preserve"> nebo proč </w:t>
            </w:r>
            <w:r w:rsidR="00C30440" w:rsidRPr="00726CED">
              <w:rPr>
                <w:b/>
                <w:bCs/>
              </w:rPr>
              <w:t xml:space="preserve">jsou posouzeny </w:t>
            </w:r>
            <w:r w:rsidR="00F24C2C" w:rsidRPr="00726CED">
              <w:rPr>
                <w:b/>
                <w:bCs/>
              </w:rPr>
              <w:t xml:space="preserve">jako </w:t>
            </w:r>
            <w:r w:rsidR="003F100A" w:rsidRPr="00726CED">
              <w:rPr>
                <w:b/>
                <w:bCs/>
              </w:rPr>
              <w:t>nerelevantní)</w:t>
            </w:r>
            <w:r w:rsidRPr="00726CED">
              <w:rPr>
                <w:b/>
                <w:bCs/>
              </w:rPr>
              <w:t>?</w:t>
            </w:r>
          </w:p>
        </w:tc>
      </w:tr>
      <w:tr w:rsidR="00462799" w:rsidRPr="00726CED" w14:paraId="6CA3C8EF" w14:textId="77777777" w:rsidTr="00E7290A">
        <w:trPr>
          <w:cantSplit/>
        </w:trPr>
        <w:tc>
          <w:tcPr>
            <w:tcW w:w="4180" w:type="dxa"/>
          </w:tcPr>
          <w:p w14:paraId="70C8AE6B" w14:textId="2717304C" w:rsidR="00462799" w:rsidRPr="00726CED" w:rsidRDefault="00462799" w:rsidP="00462799">
            <w:pPr>
              <w:spacing w:before="120" w:after="120"/>
              <w:rPr>
                <w:u w:val="single"/>
              </w:rPr>
            </w:pPr>
            <w:r w:rsidRPr="00726CED">
              <w:rPr>
                <w:u w:val="single"/>
              </w:rPr>
              <w:t xml:space="preserve">Zaměstnávání osob znevýhodněných </w:t>
            </w:r>
            <w:r w:rsidRPr="00726CED">
              <w:rPr>
                <w:u w:val="single"/>
              </w:rPr>
              <w:br/>
              <w:t xml:space="preserve">na trhu práce; podpora zaměstnávání osob </w:t>
            </w:r>
            <w:r w:rsidRPr="00726CED">
              <w:rPr>
                <w:u w:val="single"/>
              </w:rPr>
              <w:br/>
              <w:t>s trestní minulostí</w:t>
            </w:r>
          </w:p>
          <w:p w14:paraId="4177A5B4" w14:textId="6D1A5632" w:rsidR="00462799" w:rsidRPr="00726CED" w:rsidRDefault="00462799" w:rsidP="00462799">
            <w:pPr>
              <w:spacing w:before="120" w:after="120"/>
              <w:jc w:val="both"/>
              <w:rPr>
                <w:i/>
                <w:highlight w:val="yellow"/>
              </w:rPr>
            </w:pPr>
            <w:r w:rsidRPr="00726CED">
              <w:rPr>
                <w:i/>
                <w:iCs/>
              </w:rPr>
              <w:t>(</w:t>
            </w:r>
            <w:r w:rsidRPr="00726CED">
              <w:rPr>
                <w:i/>
              </w:rPr>
              <w:t>Mohou při plnění veřejné zakázky získat práci osoby znevýhodněné na trhu práce</w:t>
            </w:r>
            <w:r w:rsidRPr="00726CED">
              <w:rPr>
                <w:i/>
                <w:iCs/>
              </w:rPr>
              <w:t>?)</w:t>
            </w:r>
          </w:p>
        </w:tc>
        <w:tc>
          <w:tcPr>
            <w:tcW w:w="2478" w:type="dxa"/>
          </w:tcPr>
          <w:p w14:paraId="3EF0E380" w14:textId="77777777" w:rsidR="00462799" w:rsidRPr="000B54F9" w:rsidRDefault="00462799" w:rsidP="00462799">
            <w:pPr>
              <w:jc w:val="center"/>
            </w:pPr>
          </w:p>
          <w:p w14:paraId="3A547899" w14:textId="77777777" w:rsidR="00462799" w:rsidRPr="000B54F9" w:rsidRDefault="00462799" w:rsidP="00462799">
            <w:pPr>
              <w:jc w:val="center"/>
            </w:pPr>
          </w:p>
          <w:p w14:paraId="55A349EA" w14:textId="77777777" w:rsidR="00462799" w:rsidRPr="000B54F9" w:rsidRDefault="00462799" w:rsidP="00462799">
            <w:pPr>
              <w:jc w:val="center"/>
            </w:pPr>
          </w:p>
          <w:p w14:paraId="261CCBF3" w14:textId="1D922911" w:rsidR="00462799" w:rsidRPr="00DD20BB" w:rsidRDefault="00462799" w:rsidP="00462799">
            <w:pPr>
              <w:jc w:val="center"/>
            </w:pPr>
            <w:r w:rsidRPr="000B54F9">
              <w:t>Nerelevantní</w:t>
            </w:r>
          </w:p>
        </w:tc>
        <w:tc>
          <w:tcPr>
            <w:tcW w:w="3412" w:type="dxa"/>
          </w:tcPr>
          <w:p w14:paraId="39C8EFC9" w14:textId="66B496C2" w:rsidR="00462799" w:rsidRPr="00726CED" w:rsidRDefault="00462799" w:rsidP="00462799">
            <w:pPr>
              <w:spacing w:before="120"/>
              <w:jc w:val="center"/>
              <w:rPr>
                <w:highlight w:val="yellow"/>
              </w:rPr>
            </w:pPr>
            <w:r>
              <w:t xml:space="preserve">Vzhledem k povaze a smyslu veřejné zakázky není při plnění této </w:t>
            </w:r>
            <w:r w:rsidRPr="000B54F9">
              <w:t>veřejné zakázky</w:t>
            </w:r>
            <w:r>
              <w:t xml:space="preserve"> vhodné zaměstnávat osoby znevýhodněné na trhu práce</w:t>
            </w:r>
          </w:p>
        </w:tc>
      </w:tr>
      <w:tr w:rsidR="00462799" w:rsidRPr="00726CED" w14:paraId="2E58DBCF" w14:textId="77777777" w:rsidTr="00E7290A">
        <w:trPr>
          <w:cantSplit/>
        </w:trPr>
        <w:tc>
          <w:tcPr>
            <w:tcW w:w="4180" w:type="dxa"/>
          </w:tcPr>
          <w:p w14:paraId="34722ADB" w14:textId="5DE16011" w:rsidR="00462799" w:rsidRPr="00DD20BB" w:rsidRDefault="00462799" w:rsidP="00462799">
            <w:pPr>
              <w:spacing w:before="120" w:after="120"/>
              <w:jc w:val="both"/>
              <w:rPr>
                <w:u w:val="single"/>
              </w:rPr>
            </w:pPr>
            <w:r w:rsidRPr="00DD20BB">
              <w:rPr>
                <w:u w:val="single"/>
              </w:rPr>
              <w:t>Podpora praxe a rekvalifikací</w:t>
            </w:r>
          </w:p>
          <w:p w14:paraId="62606DA3" w14:textId="40E02AD5" w:rsidR="00462799" w:rsidRPr="00DD20BB" w:rsidRDefault="00462799" w:rsidP="00462799">
            <w:pPr>
              <w:spacing w:before="120" w:after="120"/>
              <w:jc w:val="both"/>
            </w:pPr>
            <w:r w:rsidRPr="00DD20BB">
              <w:rPr>
                <w:i/>
              </w:rPr>
              <w:t>(Mohou při plnění veřejné zakázky noví zaměstnanci, zejména znevýhodnění na trhu práce, získat nebo si zvýšit kvalifikaci?)</w:t>
            </w:r>
          </w:p>
        </w:tc>
        <w:tc>
          <w:tcPr>
            <w:tcW w:w="2478" w:type="dxa"/>
          </w:tcPr>
          <w:p w14:paraId="1B4DF6B6" w14:textId="77777777" w:rsidR="00462799" w:rsidRPr="000B54F9" w:rsidRDefault="00462799" w:rsidP="00462799">
            <w:pPr>
              <w:jc w:val="center"/>
            </w:pPr>
          </w:p>
          <w:p w14:paraId="18FE6DA0" w14:textId="77777777" w:rsidR="00462799" w:rsidRPr="000B54F9" w:rsidRDefault="00462799" w:rsidP="00462799">
            <w:pPr>
              <w:jc w:val="center"/>
            </w:pPr>
          </w:p>
          <w:p w14:paraId="285AE6F3" w14:textId="73C04DDE" w:rsidR="00462799" w:rsidRPr="00DD20BB" w:rsidRDefault="00462799" w:rsidP="00462799">
            <w:pPr>
              <w:jc w:val="center"/>
            </w:pPr>
            <w:r w:rsidRPr="000B54F9">
              <w:t>Nerelevantní</w:t>
            </w:r>
          </w:p>
        </w:tc>
        <w:tc>
          <w:tcPr>
            <w:tcW w:w="3412" w:type="dxa"/>
          </w:tcPr>
          <w:p w14:paraId="237FCD42" w14:textId="77777777" w:rsidR="00462799" w:rsidRPr="000B54F9" w:rsidRDefault="00462799" w:rsidP="00462799">
            <w:pPr>
              <w:jc w:val="center"/>
            </w:pPr>
          </w:p>
          <w:p w14:paraId="425ABEDC" w14:textId="0C55524B" w:rsidR="00462799" w:rsidRPr="00726CED" w:rsidRDefault="00BC5B8B" w:rsidP="00462799">
            <w:pPr>
              <w:spacing w:after="120"/>
              <w:jc w:val="center"/>
              <w:rPr>
                <w:highlight w:val="yellow"/>
              </w:rPr>
            </w:pPr>
            <w:r>
              <w:t>Vzhledem k povaze a smyslu zakázky není efektivní zohlednit tento aspekt odpovědného zadávání.</w:t>
            </w:r>
          </w:p>
        </w:tc>
      </w:tr>
      <w:tr w:rsidR="00462799" w:rsidRPr="00726CED" w14:paraId="6389B7F5" w14:textId="77777777" w:rsidTr="00E7290A">
        <w:trPr>
          <w:cantSplit/>
        </w:trPr>
        <w:tc>
          <w:tcPr>
            <w:tcW w:w="4180" w:type="dxa"/>
          </w:tcPr>
          <w:p w14:paraId="33216E85" w14:textId="08010EB9" w:rsidR="00462799" w:rsidRPr="009863D3" w:rsidRDefault="00462799" w:rsidP="00462799">
            <w:pPr>
              <w:spacing w:before="120" w:after="120"/>
              <w:jc w:val="both"/>
              <w:rPr>
                <w:u w:val="single"/>
              </w:rPr>
            </w:pPr>
            <w:r w:rsidRPr="009863D3">
              <w:rPr>
                <w:u w:val="single"/>
              </w:rPr>
              <w:t>Podpora vzdělávání</w:t>
            </w:r>
          </w:p>
          <w:p w14:paraId="036E5037" w14:textId="42358135" w:rsidR="00462799" w:rsidRPr="009863D3" w:rsidRDefault="00462799" w:rsidP="00462799">
            <w:pPr>
              <w:spacing w:before="120" w:after="120"/>
              <w:jc w:val="both"/>
            </w:pPr>
            <w:r w:rsidRPr="009863D3">
              <w:rPr>
                <w:i/>
                <w:iCs/>
              </w:rPr>
              <w:t>(Je možné v rámci plnění veřejné zakázky uspořádat exkurze pro školy nebo veřejnost?)</w:t>
            </w:r>
          </w:p>
        </w:tc>
        <w:tc>
          <w:tcPr>
            <w:tcW w:w="2478" w:type="dxa"/>
          </w:tcPr>
          <w:p w14:paraId="7E2DED1B" w14:textId="77777777" w:rsidR="00462799" w:rsidRPr="000B54F9" w:rsidRDefault="00462799" w:rsidP="00462799">
            <w:pPr>
              <w:jc w:val="center"/>
            </w:pPr>
          </w:p>
          <w:p w14:paraId="42EE13C7" w14:textId="77777777" w:rsidR="00462799" w:rsidRPr="000B54F9" w:rsidRDefault="00462799" w:rsidP="00462799">
            <w:pPr>
              <w:jc w:val="center"/>
            </w:pPr>
          </w:p>
          <w:p w14:paraId="42799395" w14:textId="77777777" w:rsidR="00462799" w:rsidRPr="000B54F9" w:rsidRDefault="00462799" w:rsidP="00462799">
            <w:pPr>
              <w:jc w:val="center"/>
            </w:pPr>
            <w:r w:rsidRPr="000B54F9">
              <w:t>Nerelevantní</w:t>
            </w:r>
          </w:p>
          <w:p w14:paraId="3A08061A" w14:textId="77777777" w:rsidR="00462799" w:rsidRPr="009863D3" w:rsidRDefault="00462799" w:rsidP="00462799">
            <w:pPr>
              <w:jc w:val="center"/>
            </w:pPr>
          </w:p>
        </w:tc>
        <w:tc>
          <w:tcPr>
            <w:tcW w:w="3412" w:type="dxa"/>
          </w:tcPr>
          <w:p w14:paraId="4D1F903F" w14:textId="77777777" w:rsidR="00462799" w:rsidRPr="000B54F9" w:rsidRDefault="00462799" w:rsidP="00462799">
            <w:pPr>
              <w:jc w:val="center"/>
            </w:pPr>
          </w:p>
          <w:p w14:paraId="4EEDA7EA" w14:textId="39088CC9" w:rsidR="00462799" w:rsidRPr="000B54F9" w:rsidRDefault="00EA2E67" w:rsidP="00462799">
            <w:pPr>
              <w:jc w:val="center"/>
            </w:pPr>
            <w:r>
              <w:t>Vzhledem k povaze a smyslu veřejné zakázky není při plnění této veřejné zakázky možná podpora vzdělávání</w:t>
            </w:r>
          </w:p>
          <w:p w14:paraId="1CCD27AC" w14:textId="77777777" w:rsidR="00462799" w:rsidRPr="000B54F9" w:rsidRDefault="00462799" w:rsidP="00462799">
            <w:pPr>
              <w:jc w:val="center"/>
            </w:pPr>
          </w:p>
          <w:p w14:paraId="60DEEF28" w14:textId="0C156853" w:rsidR="00462799" w:rsidRPr="00E7290A" w:rsidRDefault="00462799" w:rsidP="00462799">
            <w:pPr>
              <w:spacing w:before="120"/>
              <w:jc w:val="center"/>
              <w:rPr>
                <w:highlight w:val="yellow"/>
              </w:rPr>
            </w:pPr>
          </w:p>
        </w:tc>
      </w:tr>
      <w:tr w:rsidR="00462799" w:rsidRPr="00726CED" w14:paraId="4D5D5704" w14:textId="77777777" w:rsidTr="00E7290A">
        <w:trPr>
          <w:cantSplit/>
        </w:trPr>
        <w:tc>
          <w:tcPr>
            <w:tcW w:w="4180" w:type="dxa"/>
          </w:tcPr>
          <w:p w14:paraId="5BBBF73B" w14:textId="2412DEEC" w:rsidR="00462799" w:rsidRPr="009863D3" w:rsidRDefault="00462799" w:rsidP="00462799">
            <w:pPr>
              <w:spacing w:before="120" w:after="120"/>
              <w:rPr>
                <w:u w:val="single"/>
              </w:rPr>
            </w:pPr>
            <w:r w:rsidRPr="009863D3">
              <w:rPr>
                <w:u w:val="single"/>
              </w:rPr>
              <w:t>Důstojné pracovní podmínky – zákonné minimum</w:t>
            </w:r>
          </w:p>
          <w:p w14:paraId="732B057A" w14:textId="55087410" w:rsidR="00462799" w:rsidRPr="009863D3" w:rsidRDefault="00462799" w:rsidP="00462799">
            <w:pPr>
              <w:spacing w:before="120" w:after="120"/>
              <w:jc w:val="both"/>
            </w:pPr>
            <w:r w:rsidRPr="009863D3">
              <w:rPr>
                <w:i/>
              </w:rPr>
              <w:t>(Existuje zvýšené riziko, že při plnění veřejné zakázky bude docházet k porušování zákonného standardu pracovních podmínek dle zákoníku práce, právních předpisů v oblasti zaměstnanosti a BOZP?)</w:t>
            </w:r>
          </w:p>
        </w:tc>
        <w:tc>
          <w:tcPr>
            <w:tcW w:w="2478" w:type="dxa"/>
          </w:tcPr>
          <w:p w14:paraId="0577B4EC" w14:textId="77777777" w:rsidR="00462799" w:rsidRPr="000B54F9" w:rsidRDefault="00462799" w:rsidP="00462799">
            <w:pPr>
              <w:jc w:val="center"/>
            </w:pPr>
          </w:p>
          <w:p w14:paraId="5C64877E" w14:textId="77777777" w:rsidR="00462799" w:rsidRPr="000B54F9" w:rsidRDefault="00462799" w:rsidP="00462799">
            <w:pPr>
              <w:jc w:val="center"/>
            </w:pPr>
          </w:p>
          <w:p w14:paraId="17AECABC" w14:textId="77777777" w:rsidR="00462799" w:rsidRPr="000B54F9" w:rsidRDefault="00462799" w:rsidP="00462799">
            <w:pPr>
              <w:jc w:val="center"/>
            </w:pPr>
          </w:p>
          <w:p w14:paraId="27A45F99" w14:textId="77777777" w:rsidR="00462799" w:rsidRPr="000B54F9" w:rsidRDefault="00462799" w:rsidP="00462799">
            <w:pPr>
              <w:jc w:val="center"/>
            </w:pPr>
          </w:p>
          <w:p w14:paraId="67F42721" w14:textId="77777777" w:rsidR="00462799" w:rsidRPr="000B54F9" w:rsidRDefault="00462799" w:rsidP="00462799">
            <w:pPr>
              <w:jc w:val="center"/>
            </w:pPr>
            <w:r w:rsidRPr="000B54F9">
              <w:t>Ano</w:t>
            </w:r>
          </w:p>
          <w:p w14:paraId="547E12A1" w14:textId="7DFC23FA" w:rsidR="00462799" w:rsidRPr="009863D3" w:rsidRDefault="00462799" w:rsidP="00462799">
            <w:pPr>
              <w:jc w:val="center"/>
            </w:pPr>
          </w:p>
        </w:tc>
        <w:tc>
          <w:tcPr>
            <w:tcW w:w="3412" w:type="dxa"/>
          </w:tcPr>
          <w:p w14:paraId="126AA095" w14:textId="77777777" w:rsidR="00DD7AE3" w:rsidRPr="00854148" w:rsidRDefault="00DD7AE3" w:rsidP="00DD7AE3">
            <w:pPr>
              <w:widowControl w:val="0"/>
              <w:jc w:val="center"/>
            </w:pPr>
            <w:r w:rsidRPr="00854148">
              <w:t xml:space="preserve">Smluvní podmínky zavazují dodavatele tak, aby zachovávaly důstojné pracovní podmínky. </w:t>
            </w:r>
          </w:p>
          <w:p w14:paraId="1F9F3A44" w14:textId="77777777" w:rsidR="00DD7AE3" w:rsidRPr="00854148" w:rsidRDefault="00DD7AE3" w:rsidP="00DD7AE3">
            <w:pPr>
              <w:widowControl w:val="0"/>
              <w:jc w:val="center"/>
            </w:pPr>
            <w:r w:rsidRPr="00854148">
              <w:t xml:space="preserve">Zadavatel od účastníka zadávacího řízení vyžaduje při plnění předmětu veřejné zakázky zajistit zejména legální zaměstnávání, férové pracovní podmínky a odpovídající úroveň bezpečnosti práce pro všechny osoby, které se na plnění veřejné zakázky budou podílet. </w:t>
            </w:r>
          </w:p>
          <w:p w14:paraId="039D8754" w14:textId="3A8AF6C7" w:rsidR="00462799" w:rsidRPr="00E7290A" w:rsidRDefault="00DD7AE3" w:rsidP="00DD7AE3">
            <w:pPr>
              <w:jc w:val="center"/>
            </w:pPr>
            <w:r w:rsidRPr="00854148">
              <w:t>Současně s tím zadavatel posuzuje dodržení zákonných garancí důstojných pracovních podmínek ve vztahu k Posuzování mimořádně nízké nabídkové ceny dle § 113 odst. 4 písm. a) ZZVZ. Rovněž jsou ve vztahu k nabízenému planění uplatňována kritéria pro vyloučení dle § 48 odst. 5 písm. a) ZZVZ.</w:t>
            </w:r>
          </w:p>
        </w:tc>
      </w:tr>
      <w:tr w:rsidR="00462799" w:rsidRPr="00726CED" w14:paraId="786F9B1A" w14:textId="77777777" w:rsidTr="00E7290A">
        <w:trPr>
          <w:cantSplit/>
        </w:trPr>
        <w:tc>
          <w:tcPr>
            <w:tcW w:w="4180" w:type="dxa"/>
          </w:tcPr>
          <w:p w14:paraId="6D92592F" w14:textId="6726501A" w:rsidR="00462799" w:rsidRPr="00825357" w:rsidRDefault="00462799" w:rsidP="00462799">
            <w:pPr>
              <w:spacing w:before="120" w:after="120"/>
              <w:rPr>
                <w:u w:val="single"/>
              </w:rPr>
            </w:pPr>
            <w:r w:rsidRPr="00825357">
              <w:rPr>
                <w:u w:val="single"/>
              </w:rPr>
              <w:lastRenderedPageBreak/>
              <w:t>Důstojné pracovní podmínky – nad rámec zákona</w:t>
            </w:r>
          </w:p>
          <w:p w14:paraId="10E00275" w14:textId="16AC4BA4" w:rsidR="00462799" w:rsidRPr="00825357" w:rsidRDefault="00462799" w:rsidP="00462799">
            <w:pPr>
              <w:spacing w:before="120" w:after="120"/>
              <w:jc w:val="both"/>
            </w:pPr>
            <w:r w:rsidRPr="00825357">
              <w:rPr>
                <w:i/>
                <w:iCs/>
              </w:rPr>
              <w:t>(</w:t>
            </w:r>
            <w:r w:rsidRPr="00825357">
              <w:rPr>
                <w:i/>
              </w:rPr>
              <w:t>Je relevantní v rámci veřejné zakázky hodnotit lepší pracovní podmínky osob podílejících se na plnění, nad rámec zákonného standardu pracovních podmínek</w:t>
            </w:r>
            <w:r w:rsidRPr="00825357">
              <w:rPr>
                <w:i/>
                <w:iCs/>
              </w:rPr>
              <w:t>?)</w:t>
            </w:r>
          </w:p>
        </w:tc>
        <w:tc>
          <w:tcPr>
            <w:tcW w:w="2478" w:type="dxa"/>
          </w:tcPr>
          <w:p w14:paraId="1614840C" w14:textId="77777777" w:rsidR="00462799" w:rsidRPr="000B54F9" w:rsidRDefault="00462799" w:rsidP="00462799">
            <w:pPr>
              <w:jc w:val="center"/>
            </w:pPr>
          </w:p>
          <w:p w14:paraId="2C1A757C" w14:textId="77777777" w:rsidR="00462799" w:rsidRPr="000B54F9" w:rsidRDefault="00462799" w:rsidP="00462799">
            <w:pPr>
              <w:jc w:val="center"/>
            </w:pPr>
          </w:p>
          <w:p w14:paraId="0E19E792" w14:textId="77777777" w:rsidR="00462799" w:rsidRPr="000B54F9" w:rsidRDefault="00462799" w:rsidP="00462799">
            <w:pPr>
              <w:jc w:val="center"/>
            </w:pPr>
          </w:p>
          <w:p w14:paraId="12D5977F" w14:textId="77777777" w:rsidR="00462799" w:rsidRPr="000B54F9" w:rsidRDefault="00462799" w:rsidP="00462799">
            <w:pPr>
              <w:jc w:val="center"/>
            </w:pPr>
          </w:p>
          <w:p w14:paraId="2721933E" w14:textId="77777777" w:rsidR="00462799" w:rsidRPr="000B54F9" w:rsidRDefault="00462799" w:rsidP="00462799">
            <w:pPr>
              <w:jc w:val="center"/>
            </w:pPr>
            <w:r w:rsidRPr="000B54F9">
              <w:t>Ne</w:t>
            </w:r>
          </w:p>
          <w:p w14:paraId="7CCAF959" w14:textId="77777777" w:rsidR="00462799" w:rsidRPr="00825357" w:rsidRDefault="00462799" w:rsidP="00462799">
            <w:pPr>
              <w:jc w:val="center"/>
            </w:pPr>
          </w:p>
        </w:tc>
        <w:tc>
          <w:tcPr>
            <w:tcW w:w="3412" w:type="dxa"/>
          </w:tcPr>
          <w:p w14:paraId="4E1A7C87" w14:textId="77777777" w:rsidR="00462799" w:rsidRPr="000B54F9" w:rsidRDefault="00462799" w:rsidP="00462799">
            <w:pPr>
              <w:jc w:val="center"/>
            </w:pPr>
          </w:p>
          <w:p w14:paraId="69281A10" w14:textId="77777777" w:rsidR="00462799" w:rsidRPr="000B54F9" w:rsidRDefault="00462799" w:rsidP="00462799">
            <w:pPr>
              <w:jc w:val="center"/>
            </w:pPr>
          </w:p>
          <w:p w14:paraId="427CBB8B" w14:textId="77777777" w:rsidR="00462799" w:rsidRPr="000B54F9" w:rsidRDefault="00462799" w:rsidP="00462799">
            <w:pPr>
              <w:jc w:val="center"/>
            </w:pPr>
          </w:p>
          <w:p w14:paraId="43CBED90" w14:textId="77777777" w:rsidR="00462799" w:rsidRPr="000B54F9" w:rsidRDefault="00462799" w:rsidP="00462799">
            <w:pPr>
              <w:jc w:val="center"/>
            </w:pPr>
            <w:r w:rsidRPr="000B54F9">
              <w:t>Postačuje dodržení standardních podmínek</w:t>
            </w:r>
          </w:p>
          <w:p w14:paraId="11CCCA0A" w14:textId="4C0327BF" w:rsidR="00462799" w:rsidRPr="00E7290A" w:rsidRDefault="00462799" w:rsidP="00462799">
            <w:pPr>
              <w:jc w:val="center"/>
              <w:rPr>
                <w:highlight w:val="yellow"/>
              </w:rPr>
            </w:pPr>
          </w:p>
        </w:tc>
      </w:tr>
      <w:tr w:rsidR="00013933" w:rsidRPr="00726CED" w14:paraId="18BE4FBB" w14:textId="77777777" w:rsidTr="00E7290A">
        <w:trPr>
          <w:cantSplit/>
        </w:trPr>
        <w:tc>
          <w:tcPr>
            <w:tcW w:w="4180" w:type="dxa"/>
          </w:tcPr>
          <w:p w14:paraId="75DAD0AE" w14:textId="774272D7" w:rsidR="00013933" w:rsidRPr="00825357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825357">
              <w:rPr>
                <w:u w:val="single"/>
              </w:rPr>
              <w:t>Etické nakupování</w:t>
            </w:r>
          </w:p>
          <w:p w14:paraId="6C9E1A7F" w14:textId="70C99B68" w:rsidR="00013933" w:rsidRPr="00825357" w:rsidRDefault="00013933" w:rsidP="00013933">
            <w:pPr>
              <w:spacing w:before="120" w:after="120"/>
              <w:jc w:val="both"/>
            </w:pPr>
            <w:r w:rsidRPr="00825357">
              <w:rPr>
                <w:i/>
              </w:rPr>
              <w:t>(Existuje zvýšené riziko, že při plnění veřejné zakázky může docházet k porušování mezinárodních úmluv o lidských právech, sociálních či pracovních právech, zejména úmluv Mezinárodní organizace práce (ILO) uvedených v příloze X směrnice č. 2014/24/EU?)</w:t>
            </w:r>
          </w:p>
        </w:tc>
        <w:tc>
          <w:tcPr>
            <w:tcW w:w="2478" w:type="dxa"/>
          </w:tcPr>
          <w:p w14:paraId="016586A2" w14:textId="77777777" w:rsidR="00013933" w:rsidRPr="000B54F9" w:rsidRDefault="00013933" w:rsidP="00013933">
            <w:pPr>
              <w:jc w:val="center"/>
            </w:pPr>
          </w:p>
          <w:p w14:paraId="2EEA95BF" w14:textId="77777777" w:rsidR="00013933" w:rsidRPr="000B54F9" w:rsidRDefault="00013933" w:rsidP="00013933">
            <w:pPr>
              <w:jc w:val="center"/>
            </w:pPr>
          </w:p>
          <w:p w14:paraId="787F9042" w14:textId="77777777" w:rsidR="00013933" w:rsidRPr="000B54F9" w:rsidRDefault="00013933" w:rsidP="00013933">
            <w:pPr>
              <w:jc w:val="center"/>
            </w:pPr>
          </w:p>
          <w:p w14:paraId="50CE3171" w14:textId="77777777" w:rsidR="00013933" w:rsidRPr="000B54F9" w:rsidRDefault="00013933" w:rsidP="00013933">
            <w:pPr>
              <w:jc w:val="center"/>
            </w:pPr>
          </w:p>
          <w:p w14:paraId="114BAF38" w14:textId="77777777" w:rsidR="00013933" w:rsidRPr="000B54F9" w:rsidRDefault="00013933" w:rsidP="00013933">
            <w:pPr>
              <w:jc w:val="center"/>
            </w:pPr>
          </w:p>
          <w:p w14:paraId="1F8DB1CA" w14:textId="440816F5" w:rsidR="00013933" w:rsidRPr="000B54F9" w:rsidRDefault="00EA2E67" w:rsidP="00013933">
            <w:pPr>
              <w:jc w:val="center"/>
            </w:pPr>
            <w:r>
              <w:t>Ne</w:t>
            </w:r>
          </w:p>
          <w:p w14:paraId="086B6344" w14:textId="77777777" w:rsidR="00013933" w:rsidRPr="00825357" w:rsidRDefault="00013933" w:rsidP="00013933">
            <w:pPr>
              <w:jc w:val="center"/>
            </w:pPr>
          </w:p>
        </w:tc>
        <w:tc>
          <w:tcPr>
            <w:tcW w:w="3412" w:type="dxa"/>
          </w:tcPr>
          <w:p w14:paraId="208EF02A" w14:textId="38C948F8" w:rsidR="00013933" w:rsidRPr="00E7290A" w:rsidRDefault="00013933" w:rsidP="0018633A">
            <w:pPr>
              <w:widowControl w:val="0"/>
              <w:spacing w:before="120"/>
              <w:jc w:val="center"/>
            </w:pPr>
            <w:r w:rsidRPr="00E7290A">
              <w:t>Dle vydané metodiky je tento aspekt relevantní u dodávek a služeb, zejména v relevantních oblastech cateringu a stravování, nákupu oděvů a propagačních předmětů</w:t>
            </w:r>
            <w:r>
              <w:t>,</w:t>
            </w:r>
            <w:r w:rsidRPr="00E7290A">
              <w:t xml:space="preserve"> a to především pokud pocházejí ze zemí tzv. globálního Jihu.</w:t>
            </w:r>
          </w:p>
          <w:p w14:paraId="1ACBD530" w14:textId="77777777" w:rsidR="00013933" w:rsidRPr="00E7290A" w:rsidRDefault="00013933" w:rsidP="00013933">
            <w:pPr>
              <w:jc w:val="center"/>
              <w:rPr>
                <w:highlight w:val="yellow"/>
              </w:rPr>
            </w:pPr>
          </w:p>
        </w:tc>
      </w:tr>
      <w:tr w:rsidR="00013933" w:rsidRPr="00726CED" w14:paraId="685ABE13" w14:textId="77777777" w:rsidTr="00E7290A">
        <w:trPr>
          <w:cantSplit/>
        </w:trPr>
        <w:tc>
          <w:tcPr>
            <w:tcW w:w="4180" w:type="dxa"/>
          </w:tcPr>
          <w:p w14:paraId="3170D904" w14:textId="191BAB5F" w:rsidR="00013933" w:rsidRPr="00981C0D" w:rsidRDefault="00013933" w:rsidP="00013933">
            <w:pPr>
              <w:spacing w:before="120" w:after="120"/>
              <w:rPr>
                <w:u w:val="single"/>
              </w:rPr>
            </w:pPr>
            <w:r w:rsidRPr="00981C0D">
              <w:rPr>
                <w:u w:val="single"/>
              </w:rPr>
              <w:t xml:space="preserve">Podpora účasti sociálních podniků </w:t>
            </w:r>
            <w:r w:rsidRPr="00981C0D">
              <w:rPr>
                <w:u w:val="single"/>
              </w:rPr>
              <w:br/>
              <w:t>ve veřejných zakázkách</w:t>
            </w:r>
          </w:p>
          <w:p w14:paraId="580582BD" w14:textId="13EBA727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(Mohou plnění veřejné zakázky (nebo její části) poskytnout sociální podniky, případně se na plnění podílet jako poddodavatelé?)</w:t>
            </w:r>
          </w:p>
        </w:tc>
        <w:tc>
          <w:tcPr>
            <w:tcW w:w="2478" w:type="dxa"/>
          </w:tcPr>
          <w:p w14:paraId="77F7D07A" w14:textId="77777777" w:rsidR="00013933" w:rsidRPr="000B54F9" w:rsidRDefault="00013933" w:rsidP="00013933">
            <w:pPr>
              <w:jc w:val="center"/>
            </w:pPr>
          </w:p>
          <w:p w14:paraId="7905DDB1" w14:textId="77777777" w:rsidR="00013933" w:rsidRPr="000B54F9" w:rsidRDefault="00013933" w:rsidP="00013933">
            <w:pPr>
              <w:jc w:val="center"/>
            </w:pPr>
          </w:p>
          <w:p w14:paraId="7116B56D" w14:textId="77777777" w:rsidR="00013933" w:rsidRPr="000B54F9" w:rsidRDefault="00013933" w:rsidP="00013933">
            <w:pPr>
              <w:jc w:val="center"/>
            </w:pPr>
          </w:p>
          <w:p w14:paraId="0F3B069E" w14:textId="77777777" w:rsidR="00013933" w:rsidRPr="000B54F9" w:rsidRDefault="00013933" w:rsidP="00013933">
            <w:pPr>
              <w:jc w:val="center"/>
            </w:pPr>
            <w:r w:rsidRPr="000B54F9">
              <w:t>Nerelevantní</w:t>
            </w:r>
          </w:p>
          <w:p w14:paraId="66756346" w14:textId="77777777" w:rsidR="00013933" w:rsidRPr="00E7290A" w:rsidRDefault="00013933" w:rsidP="00013933">
            <w:pPr>
              <w:jc w:val="center"/>
            </w:pPr>
          </w:p>
        </w:tc>
        <w:tc>
          <w:tcPr>
            <w:tcW w:w="3412" w:type="dxa"/>
          </w:tcPr>
          <w:p w14:paraId="6679A427" w14:textId="77777777" w:rsidR="00013933" w:rsidRPr="000B54F9" w:rsidRDefault="00013933" w:rsidP="00013933">
            <w:pPr>
              <w:jc w:val="center"/>
            </w:pPr>
          </w:p>
          <w:p w14:paraId="639B5451" w14:textId="77777777" w:rsidR="00013933" w:rsidRPr="000B54F9" w:rsidRDefault="00013933" w:rsidP="00013933">
            <w:pPr>
              <w:jc w:val="center"/>
            </w:pPr>
          </w:p>
          <w:p w14:paraId="406E73BC" w14:textId="0F9AECB4" w:rsidR="00013933" w:rsidRPr="00E7290A" w:rsidRDefault="00013933" w:rsidP="00423FF2">
            <w:pPr>
              <w:jc w:val="center"/>
            </w:pPr>
            <w:r w:rsidRPr="000B54F9">
              <w:t>Plnění veřejné zakázky nemohou</w:t>
            </w:r>
            <w:r w:rsidR="00423FF2">
              <w:t xml:space="preserve"> </w:t>
            </w:r>
            <w:r w:rsidRPr="000B54F9">
              <w:t>poskytnout sociální podniky</w:t>
            </w:r>
          </w:p>
        </w:tc>
      </w:tr>
      <w:tr w:rsidR="00013933" w:rsidRPr="00726CED" w14:paraId="68EE1512" w14:textId="77777777" w:rsidTr="00E7290A">
        <w:trPr>
          <w:cantSplit/>
        </w:trPr>
        <w:tc>
          <w:tcPr>
            <w:tcW w:w="4180" w:type="dxa"/>
          </w:tcPr>
          <w:p w14:paraId="456283F1" w14:textId="02C61408" w:rsidR="00013933" w:rsidRPr="00981C0D" w:rsidRDefault="00013933" w:rsidP="00013933">
            <w:pPr>
              <w:spacing w:before="120" w:after="120"/>
              <w:rPr>
                <w:u w:val="single"/>
              </w:rPr>
            </w:pPr>
            <w:r w:rsidRPr="00981C0D">
              <w:rPr>
                <w:u w:val="single"/>
              </w:rPr>
              <w:t>Přínos pro místní komunitu, ekonomiku; podpora účasti malých a středních podniků ve veřejných zakázkách</w:t>
            </w:r>
          </w:p>
          <w:p w14:paraId="749AE37A" w14:textId="536AFC3C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(Mohou veřejnou zakázku nebo její část plnit malé a střední podniky (případně se na plnění podílet jako poddodavatelé)? Je vhodné přijmout taková opatření, aby se zlepšil jejich přístup k účasti ve veřejné zakázce?)</w:t>
            </w:r>
          </w:p>
        </w:tc>
        <w:tc>
          <w:tcPr>
            <w:tcW w:w="2478" w:type="dxa"/>
          </w:tcPr>
          <w:p w14:paraId="4E83F3CF" w14:textId="77777777" w:rsidR="00013933" w:rsidRPr="000B54F9" w:rsidRDefault="00013933" w:rsidP="00013933">
            <w:pPr>
              <w:jc w:val="center"/>
            </w:pPr>
          </w:p>
          <w:p w14:paraId="372D27FD" w14:textId="77777777" w:rsidR="00013933" w:rsidRPr="000B54F9" w:rsidRDefault="00013933" w:rsidP="00013933">
            <w:pPr>
              <w:jc w:val="center"/>
            </w:pPr>
          </w:p>
          <w:p w14:paraId="5A63DBF1" w14:textId="77777777" w:rsidR="00013933" w:rsidRPr="000B54F9" w:rsidRDefault="00013933" w:rsidP="00013933">
            <w:pPr>
              <w:jc w:val="center"/>
            </w:pPr>
          </w:p>
          <w:p w14:paraId="43F98DE2" w14:textId="77777777" w:rsidR="00013933" w:rsidRPr="000B54F9" w:rsidRDefault="00013933" w:rsidP="00013933">
            <w:pPr>
              <w:jc w:val="center"/>
            </w:pPr>
          </w:p>
          <w:p w14:paraId="57C4EF11" w14:textId="77777777" w:rsidR="00013933" w:rsidRPr="000B54F9" w:rsidRDefault="00013933" w:rsidP="00013933">
            <w:pPr>
              <w:jc w:val="center"/>
            </w:pPr>
            <w:r w:rsidRPr="000B54F9">
              <w:t>Ano</w:t>
            </w:r>
          </w:p>
          <w:p w14:paraId="7515C224" w14:textId="77777777" w:rsidR="00013933" w:rsidRPr="00981C0D" w:rsidRDefault="00013933" w:rsidP="00013933">
            <w:pPr>
              <w:jc w:val="center"/>
            </w:pPr>
          </w:p>
        </w:tc>
        <w:tc>
          <w:tcPr>
            <w:tcW w:w="3412" w:type="dxa"/>
          </w:tcPr>
          <w:p w14:paraId="5EC5E4F9" w14:textId="722A8F3A" w:rsidR="00013933" w:rsidRPr="00E7290A" w:rsidRDefault="00AC6068" w:rsidP="00013933">
            <w:pPr>
              <w:spacing w:before="120"/>
              <w:jc w:val="center"/>
              <w:rPr>
                <w:highlight w:val="yellow"/>
              </w:rPr>
            </w:pPr>
            <w:r w:rsidRPr="005C6936">
              <w:t>Zadavatel nijak nevylučuje účast malých a středních podniků, ať už v pozici dodavatelů, či poddodavatelů. Zadavatel výslovně umožňuje jak prokazování kvalifikace prostřednictvím jiných osob, tak i realizaci zakázky prostřednictvím poddodavatelů.</w:t>
            </w:r>
          </w:p>
        </w:tc>
      </w:tr>
      <w:tr w:rsidR="00013933" w:rsidRPr="00726CED" w14:paraId="6013E917" w14:textId="77777777" w:rsidTr="00E7290A">
        <w:trPr>
          <w:cantSplit/>
        </w:trPr>
        <w:tc>
          <w:tcPr>
            <w:tcW w:w="4180" w:type="dxa"/>
          </w:tcPr>
          <w:p w14:paraId="537B71E4" w14:textId="2F2AF878" w:rsidR="00013933" w:rsidRPr="00981C0D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981C0D">
              <w:rPr>
                <w:u w:val="single"/>
              </w:rPr>
              <w:t>Férové vztahy v dodavatelském řetězci</w:t>
            </w:r>
          </w:p>
          <w:p w14:paraId="6633EB2B" w14:textId="4F6813AA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(Existuje zvýšené riziko problémových vztahů v dodavatelském řetězci, zejména pro malé a střední podniky, jako např. opožděná splatnost faktur, nelegální zaměstnávání osob, porušování BOZP, nedodržování právních předpisů o ochraně životního prostředí apod.?)</w:t>
            </w:r>
          </w:p>
        </w:tc>
        <w:tc>
          <w:tcPr>
            <w:tcW w:w="2478" w:type="dxa"/>
          </w:tcPr>
          <w:p w14:paraId="2271779C" w14:textId="77777777" w:rsidR="00013933" w:rsidRPr="000B54F9" w:rsidRDefault="00013933" w:rsidP="00013933">
            <w:pPr>
              <w:jc w:val="center"/>
            </w:pPr>
          </w:p>
          <w:p w14:paraId="6CF740E0" w14:textId="78ED2A8E" w:rsidR="00013933" w:rsidRDefault="00013933" w:rsidP="00013933">
            <w:pPr>
              <w:jc w:val="center"/>
            </w:pPr>
          </w:p>
          <w:p w14:paraId="3D8688D1" w14:textId="77777777" w:rsidR="000428D3" w:rsidRPr="000B54F9" w:rsidRDefault="000428D3" w:rsidP="00013933">
            <w:pPr>
              <w:jc w:val="center"/>
            </w:pPr>
          </w:p>
          <w:p w14:paraId="6480D386" w14:textId="77777777" w:rsidR="00013933" w:rsidRPr="000B54F9" w:rsidRDefault="00013933" w:rsidP="00013933">
            <w:pPr>
              <w:jc w:val="center"/>
            </w:pPr>
          </w:p>
          <w:p w14:paraId="3D3FA927" w14:textId="0CC0735F" w:rsidR="00013933" w:rsidRPr="000B54F9" w:rsidRDefault="00663644" w:rsidP="00013933">
            <w:pPr>
              <w:jc w:val="center"/>
            </w:pPr>
            <w:r>
              <w:t>Nerelevantní</w:t>
            </w:r>
          </w:p>
          <w:p w14:paraId="4E48FF1B" w14:textId="77777777" w:rsidR="00013933" w:rsidRPr="000B54F9" w:rsidRDefault="00013933" w:rsidP="00013933">
            <w:pPr>
              <w:jc w:val="center"/>
            </w:pPr>
          </w:p>
          <w:p w14:paraId="70D1BF5D" w14:textId="77777777" w:rsidR="00013933" w:rsidRPr="00981C0D" w:rsidRDefault="00013933" w:rsidP="00013933">
            <w:pPr>
              <w:jc w:val="center"/>
            </w:pPr>
          </w:p>
        </w:tc>
        <w:tc>
          <w:tcPr>
            <w:tcW w:w="3412" w:type="dxa"/>
          </w:tcPr>
          <w:p w14:paraId="616F82A7" w14:textId="77777777" w:rsidR="00013933" w:rsidRPr="000B54F9" w:rsidRDefault="00013933" w:rsidP="00013933">
            <w:pPr>
              <w:jc w:val="center"/>
            </w:pPr>
          </w:p>
          <w:p w14:paraId="46CE71B6" w14:textId="77777777" w:rsidR="000428D3" w:rsidRDefault="000428D3" w:rsidP="00586E19">
            <w:pPr>
              <w:jc w:val="center"/>
            </w:pPr>
          </w:p>
          <w:p w14:paraId="68ADC108" w14:textId="0D567B70" w:rsidR="00586E19" w:rsidRDefault="00586E19" w:rsidP="00586E19">
            <w:pPr>
              <w:jc w:val="center"/>
            </w:pPr>
            <w:r>
              <w:t xml:space="preserve">Vzhledem k povaze zakázky není pravděpodobná existence </w:t>
            </w:r>
            <w:r w:rsidRPr="00826B40">
              <w:t>zvýšené</w:t>
            </w:r>
            <w:r>
              <w:t>ho</w:t>
            </w:r>
            <w:r w:rsidRPr="00826B40">
              <w:t xml:space="preserve"> rizik</w:t>
            </w:r>
            <w:r>
              <w:t>a</w:t>
            </w:r>
            <w:r w:rsidRPr="00826B40">
              <w:t xml:space="preserve"> problémových vztahů v dodavatelském řetězci</w:t>
            </w:r>
            <w:r>
              <w:t>.</w:t>
            </w:r>
          </w:p>
          <w:p w14:paraId="60D6762B" w14:textId="77777777" w:rsidR="00013933" w:rsidRPr="000B54F9" w:rsidRDefault="00013933" w:rsidP="00013933">
            <w:pPr>
              <w:jc w:val="center"/>
            </w:pPr>
          </w:p>
          <w:p w14:paraId="39A73E75" w14:textId="77777777" w:rsidR="00013933" w:rsidRPr="00E7290A" w:rsidRDefault="00013933" w:rsidP="00013933">
            <w:pPr>
              <w:jc w:val="center"/>
              <w:rPr>
                <w:highlight w:val="yellow"/>
              </w:rPr>
            </w:pPr>
          </w:p>
        </w:tc>
      </w:tr>
      <w:tr w:rsidR="00013933" w:rsidRPr="00726CED" w14:paraId="4B4FF0A3" w14:textId="77777777" w:rsidTr="00E7290A">
        <w:trPr>
          <w:cantSplit/>
        </w:trPr>
        <w:tc>
          <w:tcPr>
            <w:tcW w:w="4180" w:type="dxa"/>
          </w:tcPr>
          <w:p w14:paraId="49734F14" w14:textId="26E44887" w:rsidR="00013933" w:rsidRPr="00981C0D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981C0D">
              <w:rPr>
                <w:u w:val="single"/>
              </w:rPr>
              <w:t>Ekologicky šetrná řešení</w:t>
            </w:r>
          </w:p>
          <w:p w14:paraId="5D9FEDA4" w14:textId="25EC25AD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(Existuje ekonomicky přijatelné řešení, které umožní získat plnění šetrnější k životnímu prostředí, zejména které povede k omezení spotřeby energií, vody, surovin, produkce znečišťujících látek uvolňovaných do ovzduší, vody, půdy, omezení uhlíkové stopy apod.?)</w:t>
            </w:r>
          </w:p>
        </w:tc>
        <w:tc>
          <w:tcPr>
            <w:tcW w:w="2478" w:type="dxa"/>
          </w:tcPr>
          <w:p w14:paraId="1E803441" w14:textId="77777777" w:rsidR="00013933" w:rsidRPr="000B54F9" w:rsidRDefault="00013933" w:rsidP="00013933">
            <w:pPr>
              <w:jc w:val="center"/>
            </w:pPr>
          </w:p>
          <w:p w14:paraId="376152EB" w14:textId="77777777" w:rsidR="00013933" w:rsidRPr="000B54F9" w:rsidRDefault="00013933" w:rsidP="00013933">
            <w:pPr>
              <w:jc w:val="center"/>
            </w:pPr>
          </w:p>
          <w:p w14:paraId="2BB6C8C8" w14:textId="77777777" w:rsidR="00013933" w:rsidRPr="000B54F9" w:rsidRDefault="00013933" w:rsidP="00013933">
            <w:pPr>
              <w:jc w:val="center"/>
            </w:pPr>
          </w:p>
          <w:p w14:paraId="1E41581B" w14:textId="77777777" w:rsidR="00013933" w:rsidRPr="000B54F9" w:rsidRDefault="00013933" w:rsidP="00013933">
            <w:pPr>
              <w:jc w:val="center"/>
            </w:pPr>
          </w:p>
          <w:p w14:paraId="5B6C8A03" w14:textId="47F7E008" w:rsidR="00013933" w:rsidRPr="00981C0D" w:rsidRDefault="000428D3" w:rsidP="00013933">
            <w:pPr>
              <w:jc w:val="center"/>
            </w:pPr>
            <w:r>
              <w:t>Ne</w:t>
            </w:r>
          </w:p>
        </w:tc>
        <w:tc>
          <w:tcPr>
            <w:tcW w:w="3412" w:type="dxa"/>
          </w:tcPr>
          <w:p w14:paraId="16010B04" w14:textId="77777777" w:rsidR="00013933" w:rsidRPr="000B54F9" w:rsidRDefault="00013933" w:rsidP="00013933">
            <w:pPr>
              <w:jc w:val="center"/>
            </w:pPr>
          </w:p>
          <w:p w14:paraId="1D46442A" w14:textId="49CA229F" w:rsidR="00595E46" w:rsidRDefault="00595E46" w:rsidP="000428D3">
            <w:pPr>
              <w:jc w:val="center"/>
            </w:pPr>
            <w:r>
              <w:t>Vzhledem k povaze a smyslu zakázky není vhodné limitovat předmět plnění požadavkem na ekologické řešení.</w:t>
            </w:r>
          </w:p>
          <w:p w14:paraId="7D85A7C0" w14:textId="77777777" w:rsidR="00013933" w:rsidRPr="000B54F9" w:rsidRDefault="00013933" w:rsidP="00013933">
            <w:pPr>
              <w:jc w:val="center"/>
            </w:pPr>
          </w:p>
          <w:p w14:paraId="6DF78255" w14:textId="77777777" w:rsidR="00013933" w:rsidRPr="00E7290A" w:rsidRDefault="00013933" w:rsidP="00013933">
            <w:pPr>
              <w:jc w:val="center"/>
              <w:rPr>
                <w:highlight w:val="yellow"/>
              </w:rPr>
            </w:pPr>
          </w:p>
        </w:tc>
      </w:tr>
      <w:tr w:rsidR="00013933" w:rsidRPr="00726CED" w14:paraId="7F64DE5C" w14:textId="77777777" w:rsidTr="00E7290A">
        <w:trPr>
          <w:cantSplit/>
        </w:trPr>
        <w:tc>
          <w:tcPr>
            <w:tcW w:w="4180" w:type="dxa"/>
          </w:tcPr>
          <w:p w14:paraId="0EFB9F45" w14:textId="6C322AB2" w:rsidR="00013933" w:rsidRPr="00981C0D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981C0D">
              <w:rPr>
                <w:u w:val="single"/>
              </w:rPr>
              <w:lastRenderedPageBreak/>
              <w:t>Cirkulární ekonomika</w:t>
            </w:r>
          </w:p>
          <w:p w14:paraId="3DF1A605" w14:textId="2CD55FCC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(Existuje ekonomicky přijatelné řešení, které umožní využití obnovitelných zdrojů, recyklovaných surovin, snížení množství odpadu, zohlednění nákladů životního cyklu či zapojení jiných aspektů cirkulární ekonomiky?)</w:t>
            </w:r>
          </w:p>
        </w:tc>
        <w:tc>
          <w:tcPr>
            <w:tcW w:w="2478" w:type="dxa"/>
          </w:tcPr>
          <w:p w14:paraId="0B815F1F" w14:textId="77777777" w:rsidR="00013933" w:rsidRPr="000B54F9" w:rsidRDefault="00013933" w:rsidP="00013933">
            <w:pPr>
              <w:jc w:val="center"/>
            </w:pPr>
          </w:p>
          <w:p w14:paraId="7D2AF12A" w14:textId="77777777" w:rsidR="00013933" w:rsidRPr="000B54F9" w:rsidRDefault="00013933" w:rsidP="00013933">
            <w:pPr>
              <w:jc w:val="center"/>
            </w:pPr>
          </w:p>
          <w:p w14:paraId="7372CE58" w14:textId="77777777" w:rsidR="00013933" w:rsidRPr="000B54F9" w:rsidRDefault="00013933" w:rsidP="00013933">
            <w:pPr>
              <w:jc w:val="center"/>
            </w:pPr>
          </w:p>
          <w:p w14:paraId="1662EA00" w14:textId="77777777" w:rsidR="00013933" w:rsidRPr="000B54F9" w:rsidRDefault="00013933" w:rsidP="00013933">
            <w:pPr>
              <w:jc w:val="center"/>
            </w:pPr>
          </w:p>
          <w:p w14:paraId="6BB7C85B" w14:textId="77777777" w:rsidR="00013933" w:rsidRPr="000B54F9" w:rsidRDefault="00013933" w:rsidP="00013933">
            <w:pPr>
              <w:jc w:val="center"/>
            </w:pPr>
            <w:r w:rsidRPr="000B54F9">
              <w:t>Nerelevantní</w:t>
            </w:r>
          </w:p>
          <w:p w14:paraId="7A7ADDC3" w14:textId="77777777" w:rsidR="00013933" w:rsidRPr="00981C0D" w:rsidRDefault="00013933" w:rsidP="00013933">
            <w:pPr>
              <w:jc w:val="center"/>
            </w:pPr>
          </w:p>
        </w:tc>
        <w:tc>
          <w:tcPr>
            <w:tcW w:w="3412" w:type="dxa"/>
          </w:tcPr>
          <w:p w14:paraId="048E3A68" w14:textId="77777777" w:rsidR="00013933" w:rsidRPr="000B54F9" w:rsidRDefault="00013933" w:rsidP="00013933">
            <w:pPr>
              <w:jc w:val="center"/>
            </w:pPr>
          </w:p>
          <w:p w14:paraId="5F635842" w14:textId="522F1B0D" w:rsidR="00013933" w:rsidRDefault="00013933" w:rsidP="00013933">
            <w:pPr>
              <w:jc w:val="center"/>
            </w:pPr>
          </w:p>
          <w:p w14:paraId="742D9650" w14:textId="77777777" w:rsidR="00C976FF" w:rsidRPr="000B54F9" w:rsidRDefault="00C976FF" w:rsidP="00013933">
            <w:pPr>
              <w:jc w:val="center"/>
            </w:pPr>
          </w:p>
          <w:p w14:paraId="569A7AC6" w14:textId="1DE30BC8" w:rsidR="00013933" w:rsidRPr="00E7290A" w:rsidRDefault="00013933" w:rsidP="00013933">
            <w:pPr>
              <w:jc w:val="center"/>
              <w:rPr>
                <w:highlight w:val="yellow"/>
              </w:rPr>
            </w:pPr>
            <w:r w:rsidRPr="000B54F9">
              <w:t>Není známo řešení pro zohlednění zapojení jiných aspektů cirkulární ekonomiky</w:t>
            </w:r>
          </w:p>
        </w:tc>
      </w:tr>
      <w:tr w:rsidR="00013933" w:rsidRPr="00726CED" w14:paraId="642DB9A2" w14:textId="77777777" w:rsidTr="00E7290A">
        <w:trPr>
          <w:cantSplit/>
        </w:trPr>
        <w:tc>
          <w:tcPr>
            <w:tcW w:w="4180" w:type="dxa"/>
          </w:tcPr>
          <w:p w14:paraId="0364C16A" w14:textId="183D04CE" w:rsidR="00013933" w:rsidRPr="00981C0D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981C0D">
              <w:rPr>
                <w:u w:val="single"/>
              </w:rPr>
              <w:t>Inovace</w:t>
            </w:r>
          </w:p>
          <w:p w14:paraId="42302702" w14:textId="5BF74F4B" w:rsidR="00013933" w:rsidRPr="00981C0D" w:rsidRDefault="00013933" w:rsidP="00013933">
            <w:pPr>
              <w:spacing w:before="120" w:after="120"/>
              <w:jc w:val="both"/>
            </w:pPr>
            <w:r w:rsidRPr="00981C0D">
              <w:rPr>
                <w:i/>
              </w:rPr>
              <w:t>(Existuje ekonomicky přijatelné řešení pro inovaci, tedy pro implementaci nového nebo značně zlepšeného produktu, služby nebo postupu souvisejícího s předmětem veřejné zakázky?)</w:t>
            </w:r>
          </w:p>
        </w:tc>
        <w:tc>
          <w:tcPr>
            <w:tcW w:w="2478" w:type="dxa"/>
          </w:tcPr>
          <w:p w14:paraId="2A47C249" w14:textId="77777777" w:rsidR="00013933" w:rsidRPr="000B54F9" w:rsidRDefault="00013933" w:rsidP="00013933">
            <w:pPr>
              <w:jc w:val="center"/>
            </w:pPr>
          </w:p>
          <w:p w14:paraId="64CDD4C8" w14:textId="77777777" w:rsidR="00013933" w:rsidRPr="000B54F9" w:rsidRDefault="00013933" w:rsidP="00013933">
            <w:pPr>
              <w:jc w:val="center"/>
            </w:pPr>
          </w:p>
          <w:p w14:paraId="4768F1EB" w14:textId="77777777" w:rsidR="00013933" w:rsidRPr="000B54F9" w:rsidRDefault="00013933" w:rsidP="00013933">
            <w:pPr>
              <w:jc w:val="center"/>
            </w:pPr>
          </w:p>
          <w:p w14:paraId="4C555BE8" w14:textId="2015A87A" w:rsidR="00013933" w:rsidRPr="00B859C8" w:rsidRDefault="00013933" w:rsidP="00013933">
            <w:pPr>
              <w:jc w:val="center"/>
            </w:pPr>
            <w:r w:rsidRPr="000B54F9">
              <w:t>Ne</w:t>
            </w:r>
          </w:p>
        </w:tc>
        <w:tc>
          <w:tcPr>
            <w:tcW w:w="3412" w:type="dxa"/>
          </w:tcPr>
          <w:p w14:paraId="79ED1D91" w14:textId="77777777" w:rsidR="00013933" w:rsidRPr="000B54F9" w:rsidRDefault="00013933" w:rsidP="00013933">
            <w:pPr>
              <w:jc w:val="center"/>
            </w:pPr>
          </w:p>
          <w:p w14:paraId="027B3415" w14:textId="77777777" w:rsidR="00013933" w:rsidRPr="000B54F9" w:rsidRDefault="00013933" w:rsidP="00013933">
            <w:pPr>
              <w:jc w:val="center"/>
            </w:pPr>
          </w:p>
          <w:p w14:paraId="01B3A781" w14:textId="3CA1ED52" w:rsidR="00013933" w:rsidRPr="00E7290A" w:rsidRDefault="00833A02" w:rsidP="00013933">
            <w:pPr>
              <w:jc w:val="center"/>
              <w:rPr>
                <w:highlight w:val="yellow"/>
              </w:rPr>
            </w:pPr>
            <w:r>
              <w:t>Není známo řešení pro inovaci a vzhledem k povaze a smyslu zakázky je nevhodné umožňovat odchylky pro očekávané plnění</w:t>
            </w:r>
          </w:p>
        </w:tc>
      </w:tr>
      <w:tr w:rsidR="00013933" w:rsidRPr="00726CED" w14:paraId="0AFF842A" w14:textId="77777777" w:rsidTr="00E7290A">
        <w:trPr>
          <w:cantSplit/>
        </w:trPr>
        <w:tc>
          <w:tcPr>
            <w:tcW w:w="4180" w:type="dxa"/>
          </w:tcPr>
          <w:p w14:paraId="2E6FF80F" w14:textId="77777777" w:rsidR="00013933" w:rsidRPr="00981C0D" w:rsidRDefault="00013933" w:rsidP="00013933">
            <w:pPr>
              <w:spacing w:before="120" w:after="120"/>
              <w:rPr>
                <w:u w:val="single"/>
              </w:rPr>
            </w:pPr>
            <w:r w:rsidRPr="00981C0D">
              <w:rPr>
                <w:u w:val="single"/>
              </w:rPr>
              <w:t xml:space="preserve">Komunikace zadavatelů s dodavateli </w:t>
            </w:r>
            <w:r w:rsidRPr="00981C0D">
              <w:rPr>
                <w:u w:val="single"/>
              </w:rPr>
              <w:br/>
              <w:t>ve vztahu k OVZ</w:t>
            </w:r>
          </w:p>
          <w:p w14:paraId="259DD696" w14:textId="188C11F9" w:rsidR="00013933" w:rsidRPr="00981C0D" w:rsidRDefault="00013933" w:rsidP="00013933">
            <w:pPr>
              <w:spacing w:before="120" w:after="120"/>
              <w:jc w:val="both"/>
              <w:rPr>
                <w:u w:val="single"/>
              </w:rPr>
            </w:pPr>
            <w:r w:rsidRPr="00981C0D">
              <w:rPr>
                <w:i/>
              </w:rPr>
              <w:t>(Je vhodné o užití OVZ ve veřejné zakázce informovat dodavatele formou předběžných tržních konzultací?)</w:t>
            </w:r>
          </w:p>
        </w:tc>
        <w:tc>
          <w:tcPr>
            <w:tcW w:w="2478" w:type="dxa"/>
          </w:tcPr>
          <w:p w14:paraId="7D3CD116" w14:textId="77777777" w:rsidR="00013933" w:rsidRPr="000B54F9" w:rsidRDefault="00013933" w:rsidP="00013933">
            <w:pPr>
              <w:jc w:val="center"/>
            </w:pPr>
          </w:p>
          <w:p w14:paraId="212E220B" w14:textId="77777777" w:rsidR="00013933" w:rsidRPr="000B54F9" w:rsidRDefault="00013933" w:rsidP="00013933">
            <w:pPr>
              <w:jc w:val="center"/>
            </w:pPr>
          </w:p>
          <w:p w14:paraId="01DCCCF4" w14:textId="77777777" w:rsidR="00013933" w:rsidRPr="000B54F9" w:rsidRDefault="00013933" w:rsidP="00013933">
            <w:pPr>
              <w:jc w:val="center"/>
            </w:pPr>
          </w:p>
          <w:p w14:paraId="333DF5DC" w14:textId="6CE82B9E" w:rsidR="00013933" w:rsidRPr="00981C0D" w:rsidRDefault="00013933" w:rsidP="00013933">
            <w:pPr>
              <w:tabs>
                <w:tab w:val="left" w:pos="990"/>
                <w:tab w:val="center" w:pos="1131"/>
              </w:tabs>
              <w:jc w:val="center"/>
            </w:pPr>
            <w:r w:rsidRPr="000B54F9">
              <w:t>Ne</w:t>
            </w:r>
          </w:p>
        </w:tc>
        <w:tc>
          <w:tcPr>
            <w:tcW w:w="3412" w:type="dxa"/>
          </w:tcPr>
          <w:p w14:paraId="76696EB4" w14:textId="77777777" w:rsidR="00013933" w:rsidRPr="000B54F9" w:rsidRDefault="00013933" w:rsidP="00013933">
            <w:pPr>
              <w:jc w:val="center"/>
            </w:pPr>
          </w:p>
          <w:p w14:paraId="45C8E0E8" w14:textId="77777777" w:rsidR="00013933" w:rsidRPr="000B54F9" w:rsidRDefault="00013933" w:rsidP="00013933">
            <w:pPr>
              <w:jc w:val="center"/>
            </w:pPr>
          </w:p>
          <w:p w14:paraId="6B0DC9B1" w14:textId="45FDB085" w:rsidR="00013933" w:rsidRPr="00E7290A" w:rsidRDefault="00013933" w:rsidP="00013933">
            <w:pPr>
              <w:jc w:val="center"/>
            </w:pPr>
            <w:r w:rsidRPr="000B54F9">
              <w:t>Předběžné konzultace nejsou vzhledem k charakteru zakázky vhodné</w:t>
            </w:r>
          </w:p>
        </w:tc>
      </w:tr>
      <w:tr w:rsidR="00013933" w:rsidRPr="00726CED" w14:paraId="7D6AA4F5" w14:textId="77777777" w:rsidTr="00E7290A">
        <w:trPr>
          <w:cantSplit/>
        </w:trPr>
        <w:tc>
          <w:tcPr>
            <w:tcW w:w="4180" w:type="dxa"/>
          </w:tcPr>
          <w:p w14:paraId="29056B9F" w14:textId="69BEA8CC" w:rsidR="00013933" w:rsidRPr="00981C0D" w:rsidRDefault="00013933" w:rsidP="00013933">
            <w:pPr>
              <w:spacing w:before="120" w:after="120"/>
              <w:rPr>
                <w:u w:val="single"/>
              </w:rPr>
            </w:pPr>
            <w:r w:rsidRPr="00981C0D">
              <w:t>Existují jiná významná rizika nebo příležitosti z pohledu společenské odpovědnosti či udržitelnosti?</w:t>
            </w:r>
          </w:p>
        </w:tc>
        <w:tc>
          <w:tcPr>
            <w:tcW w:w="2478" w:type="dxa"/>
          </w:tcPr>
          <w:p w14:paraId="3069ABB8" w14:textId="77777777" w:rsidR="00013933" w:rsidRPr="000B54F9" w:rsidRDefault="00013933" w:rsidP="00013933">
            <w:pPr>
              <w:jc w:val="center"/>
            </w:pPr>
          </w:p>
          <w:p w14:paraId="60ED7DAB" w14:textId="77777777" w:rsidR="00013933" w:rsidRPr="000B54F9" w:rsidRDefault="00013933" w:rsidP="00013933">
            <w:pPr>
              <w:jc w:val="center"/>
            </w:pPr>
          </w:p>
          <w:p w14:paraId="4FFE8A6D" w14:textId="11FB026F" w:rsidR="00013933" w:rsidRPr="00981C0D" w:rsidRDefault="00013933" w:rsidP="00013933">
            <w:pPr>
              <w:jc w:val="center"/>
            </w:pPr>
            <w:r w:rsidRPr="000B54F9">
              <w:t>Ne</w:t>
            </w:r>
          </w:p>
        </w:tc>
        <w:tc>
          <w:tcPr>
            <w:tcW w:w="3412" w:type="dxa"/>
          </w:tcPr>
          <w:p w14:paraId="659912B8" w14:textId="77777777" w:rsidR="00013933" w:rsidRPr="000B54F9" w:rsidRDefault="00013933" w:rsidP="00013933">
            <w:pPr>
              <w:jc w:val="center"/>
            </w:pPr>
          </w:p>
          <w:p w14:paraId="73DB8E25" w14:textId="77777777" w:rsidR="005A5DCF" w:rsidRDefault="005A5DCF" w:rsidP="00013933">
            <w:pPr>
              <w:jc w:val="center"/>
            </w:pPr>
          </w:p>
          <w:p w14:paraId="7311655D" w14:textId="207CEEA2" w:rsidR="00013933" w:rsidRPr="00E7290A" w:rsidRDefault="00013933" w:rsidP="00013933">
            <w:pPr>
              <w:jc w:val="center"/>
            </w:pPr>
            <w:r w:rsidRPr="000B54F9">
              <w:t>Rizika nejsou známa</w:t>
            </w:r>
          </w:p>
        </w:tc>
      </w:tr>
    </w:tbl>
    <w:p w14:paraId="2642CBD5" w14:textId="6CAE32A9" w:rsidR="009143CC" w:rsidRPr="00981C0D" w:rsidRDefault="00E54B03" w:rsidP="009143CC">
      <w:pPr>
        <w:spacing w:before="240" w:after="240"/>
      </w:pPr>
      <w:r w:rsidRPr="00981C0D">
        <w:t>Předpokládaná hodnota: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082"/>
      </w:tblGrid>
      <w:tr w:rsidR="00E54B03" w:rsidRPr="00726CED" w14:paraId="5DA17F18" w14:textId="77777777" w:rsidTr="00BD49EF">
        <w:trPr>
          <w:trHeight w:val="1798"/>
        </w:trPr>
        <w:tc>
          <w:tcPr>
            <w:tcW w:w="10082" w:type="dxa"/>
          </w:tcPr>
          <w:p w14:paraId="20DD4659" w14:textId="77777777" w:rsidR="00E54B03" w:rsidRPr="00BD49EF" w:rsidRDefault="00E54B03" w:rsidP="00E54B03">
            <w:pPr>
              <w:spacing w:before="240" w:after="240"/>
              <w:jc w:val="both"/>
              <w:rPr>
                <w:i/>
                <w:iCs/>
              </w:rPr>
            </w:pPr>
            <w:r w:rsidRPr="00BD49EF">
              <w:rPr>
                <w:i/>
                <w:iCs/>
              </w:rPr>
              <w:t>Popis, jakým způsobem byla stanovena předpokládaná hodnota veřejné zakázky. Např. na základě údajů a informací o zakázkách stejného či podobného předmětu plnění, z informací získaných průzkumem trhu, předběžnými tržními konzultacemi nebo jiným vhodným způsobem.</w:t>
            </w:r>
          </w:p>
          <w:p w14:paraId="40D59AD4" w14:textId="1F8F9D4F" w:rsidR="00981C0D" w:rsidRPr="00BD49EF" w:rsidRDefault="00981C0D" w:rsidP="00E54B03">
            <w:pPr>
              <w:spacing w:before="240" w:after="240"/>
              <w:jc w:val="both"/>
              <w:rPr>
                <w:i/>
                <w:iCs/>
              </w:rPr>
            </w:pPr>
            <w:r w:rsidRPr="00BD49EF">
              <w:t>Předpokládaná hodnota byla stanovena v souladu s určením činností a jejich rozsahu, které předmět plnění zahrnuje, v souvislosti s potřebami zadavatele</w:t>
            </w:r>
            <w:r w:rsidR="00EA2E67">
              <w:t>.</w:t>
            </w:r>
          </w:p>
        </w:tc>
      </w:tr>
      <w:tr w:rsidR="00BD49EF" w:rsidRPr="00726CED" w14:paraId="48A384F9" w14:textId="77777777" w:rsidTr="00BD49EF">
        <w:trPr>
          <w:trHeight w:val="581"/>
        </w:trPr>
        <w:tc>
          <w:tcPr>
            <w:tcW w:w="10082" w:type="dxa"/>
          </w:tcPr>
          <w:p w14:paraId="77992168" w14:textId="15A172C3" w:rsidR="00BD49EF" w:rsidRPr="00726CED" w:rsidRDefault="00BD49EF" w:rsidP="00B32CEB">
            <w:pPr>
              <w:spacing w:before="240" w:after="240"/>
              <w:jc w:val="both"/>
              <w:rPr>
                <w:iCs/>
                <w:highlight w:val="yellow"/>
              </w:rPr>
            </w:pPr>
            <w:r w:rsidRPr="004368E6">
              <w:rPr>
                <w:iCs/>
              </w:rPr>
              <w:t xml:space="preserve">Na základě </w:t>
            </w:r>
            <w:r>
              <w:rPr>
                <w:iCs/>
              </w:rPr>
              <w:t xml:space="preserve">obdobných </w:t>
            </w:r>
            <w:r w:rsidR="00EA2E67">
              <w:rPr>
                <w:iCs/>
              </w:rPr>
              <w:t>služeb</w:t>
            </w:r>
            <w:r w:rsidRPr="004368E6">
              <w:rPr>
                <w:iCs/>
              </w:rPr>
              <w:t xml:space="preserve"> v minulých obdobích</w:t>
            </w:r>
          </w:p>
        </w:tc>
      </w:tr>
    </w:tbl>
    <w:p w14:paraId="44311767" w14:textId="77777777" w:rsidR="00BD49EF" w:rsidRPr="00DD20BB" w:rsidRDefault="00BD49EF" w:rsidP="00BD49EF">
      <w:pPr>
        <w:spacing w:before="240" w:after="240"/>
      </w:pPr>
      <w:r w:rsidRPr="00DD20BB">
        <w:t>Vyhotovil: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2208"/>
        <w:gridCol w:w="4567"/>
      </w:tblGrid>
      <w:tr w:rsidR="00BD49EF" w:rsidRPr="007152DD" w14:paraId="3D5138CC" w14:textId="77777777" w:rsidTr="00B32CEB">
        <w:trPr>
          <w:trHeight w:val="353"/>
        </w:trPr>
        <w:tc>
          <w:tcPr>
            <w:tcW w:w="1640" w:type="pct"/>
            <w:vAlign w:val="center"/>
          </w:tcPr>
          <w:p w14:paraId="2A5BA72E" w14:textId="77777777" w:rsidR="00BD49EF" w:rsidRPr="00DD20BB" w:rsidRDefault="00BD49EF" w:rsidP="00B32CEB">
            <w:pPr>
              <w:spacing w:line="276" w:lineRule="auto"/>
              <w:rPr>
                <w:rFonts w:ascii="Calibri" w:hAnsi="Calibri" w:cs="Arial"/>
              </w:rPr>
            </w:pPr>
            <w:r w:rsidRPr="00DD20BB">
              <w:rPr>
                <w:rFonts w:ascii="Calibri" w:hAnsi="Calibri" w:cs="Arial"/>
              </w:rPr>
              <w:t xml:space="preserve">Jméno a příjmení, odbor: </w:t>
            </w:r>
          </w:p>
        </w:tc>
        <w:tc>
          <w:tcPr>
            <w:tcW w:w="1095" w:type="pct"/>
          </w:tcPr>
          <w:p w14:paraId="1929649B" w14:textId="77777777" w:rsidR="00BD49EF" w:rsidRPr="00DD20BB" w:rsidRDefault="00BD49EF" w:rsidP="00B32CEB">
            <w:pPr>
              <w:spacing w:line="276" w:lineRule="auto"/>
              <w:rPr>
                <w:rFonts w:ascii="Calibri" w:hAnsi="Calibri" w:cs="Arial"/>
              </w:rPr>
            </w:pPr>
            <w:r w:rsidRPr="00DD20BB">
              <w:rPr>
                <w:rFonts w:ascii="Calibri" w:hAnsi="Calibri" w:cs="Arial"/>
              </w:rPr>
              <w:t>Datum:</w:t>
            </w:r>
          </w:p>
        </w:tc>
        <w:tc>
          <w:tcPr>
            <w:tcW w:w="2265" w:type="pct"/>
            <w:vAlign w:val="center"/>
          </w:tcPr>
          <w:p w14:paraId="6405606E" w14:textId="77777777" w:rsidR="00BD49EF" w:rsidRPr="007152DD" w:rsidRDefault="00BD49EF" w:rsidP="00B32CEB">
            <w:pPr>
              <w:spacing w:line="276" w:lineRule="auto"/>
              <w:rPr>
                <w:rFonts w:ascii="Calibri" w:hAnsi="Calibri" w:cs="Arial"/>
              </w:rPr>
            </w:pPr>
            <w:r w:rsidRPr="00DD20BB">
              <w:rPr>
                <w:rFonts w:ascii="Calibri" w:hAnsi="Calibri" w:cs="Arial"/>
              </w:rPr>
              <w:t>Podpis:</w:t>
            </w:r>
            <w:r w:rsidRPr="007152DD">
              <w:rPr>
                <w:rFonts w:ascii="Calibri" w:hAnsi="Calibri" w:cs="Arial"/>
              </w:rPr>
              <w:t xml:space="preserve"> </w:t>
            </w:r>
          </w:p>
        </w:tc>
      </w:tr>
      <w:tr w:rsidR="00BD49EF" w:rsidRPr="007152DD" w14:paraId="3D8B3CB1" w14:textId="77777777" w:rsidTr="00B32CEB">
        <w:trPr>
          <w:trHeight w:val="433"/>
        </w:trPr>
        <w:tc>
          <w:tcPr>
            <w:tcW w:w="1640" w:type="pct"/>
            <w:vAlign w:val="center"/>
          </w:tcPr>
          <w:p w14:paraId="6FFCC5F8" w14:textId="7158AD78" w:rsidR="00BD49EF" w:rsidRPr="007152DD" w:rsidRDefault="000E181E" w:rsidP="00B32CE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Lenka Jelínková</w:t>
            </w:r>
          </w:p>
        </w:tc>
        <w:tc>
          <w:tcPr>
            <w:tcW w:w="1095" w:type="pct"/>
          </w:tcPr>
          <w:p w14:paraId="4F43AF75" w14:textId="282C6029" w:rsidR="00BD49EF" w:rsidRPr="007152DD" w:rsidRDefault="00B868E4" w:rsidP="00B32CEB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23</w:t>
            </w:r>
            <w:r w:rsidR="000E181E">
              <w:rPr>
                <w:rFonts w:ascii="Calibri" w:hAnsi="Calibri" w:cs="Arial"/>
              </w:rPr>
              <w:t>.</w:t>
            </w:r>
            <w:r>
              <w:rPr>
                <w:rFonts w:ascii="Calibri" w:hAnsi="Calibri" w:cs="Arial"/>
              </w:rPr>
              <w:t>02</w:t>
            </w:r>
            <w:r w:rsidR="000E181E">
              <w:rPr>
                <w:rFonts w:ascii="Calibri" w:hAnsi="Calibri" w:cs="Arial"/>
              </w:rPr>
              <w:t>.202</w:t>
            </w: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2265" w:type="pct"/>
            <w:vAlign w:val="center"/>
          </w:tcPr>
          <w:p w14:paraId="72AEF8C9" w14:textId="77777777" w:rsidR="00BD49EF" w:rsidRPr="007152DD" w:rsidRDefault="00BD49EF" w:rsidP="00B32CEB">
            <w:pPr>
              <w:spacing w:line="276" w:lineRule="auto"/>
              <w:rPr>
                <w:rFonts w:ascii="Calibri" w:hAnsi="Calibri" w:cs="Arial"/>
              </w:rPr>
            </w:pPr>
          </w:p>
        </w:tc>
      </w:tr>
    </w:tbl>
    <w:p w14:paraId="74EE7878" w14:textId="688178E1" w:rsidR="006C255A" w:rsidRDefault="006C255A" w:rsidP="00661496">
      <w:pPr>
        <w:spacing w:before="240" w:after="240"/>
      </w:pPr>
    </w:p>
    <w:sectPr w:rsidR="006C255A" w:rsidSect="009143CC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0331D" w14:textId="77777777" w:rsidR="00D4536B" w:rsidRDefault="00D4536B" w:rsidP="00E54B03">
      <w:pPr>
        <w:spacing w:after="0" w:line="240" w:lineRule="auto"/>
      </w:pPr>
      <w:r>
        <w:separator/>
      </w:r>
    </w:p>
  </w:endnote>
  <w:endnote w:type="continuationSeparator" w:id="0">
    <w:p w14:paraId="3AC61170" w14:textId="77777777" w:rsidR="00D4536B" w:rsidRDefault="00D4536B" w:rsidP="00E54B03">
      <w:pPr>
        <w:spacing w:after="0" w:line="240" w:lineRule="auto"/>
      </w:pPr>
      <w:r>
        <w:continuationSeparator/>
      </w:r>
    </w:p>
  </w:endnote>
  <w:endnote w:type="continuationNotice" w:id="1">
    <w:p w14:paraId="67609DFA" w14:textId="77777777" w:rsidR="00D4536B" w:rsidRDefault="00D453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5A6C" w14:textId="77777777" w:rsidR="00D4536B" w:rsidRDefault="00D4536B" w:rsidP="00E54B03">
      <w:pPr>
        <w:spacing w:after="0" w:line="240" w:lineRule="auto"/>
      </w:pPr>
      <w:r>
        <w:separator/>
      </w:r>
    </w:p>
  </w:footnote>
  <w:footnote w:type="continuationSeparator" w:id="0">
    <w:p w14:paraId="16890FF4" w14:textId="77777777" w:rsidR="00D4536B" w:rsidRDefault="00D4536B" w:rsidP="00E54B03">
      <w:pPr>
        <w:spacing w:after="0" w:line="240" w:lineRule="auto"/>
      </w:pPr>
      <w:r>
        <w:continuationSeparator/>
      </w:r>
    </w:p>
  </w:footnote>
  <w:footnote w:type="continuationNotice" w:id="1">
    <w:p w14:paraId="6281C03F" w14:textId="77777777" w:rsidR="00D4536B" w:rsidRDefault="00D453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70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3CC"/>
    <w:rsid w:val="0000052F"/>
    <w:rsid w:val="00013933"/>
    <w:rsid w:val="000312AE"/>
    <w:rsid w:val="00032936"/>
    <w:rsid w:val="00034EC8"/>
    <w:rsid w:val="000423C3"/>
    <w:rsid w:val="000428D3"/>
    <w:rsid w:val="00045ACD"/>
    <w:rsid w:val="00046746"/>
    <w:rsid w:val="00052B4E"/>
    <w:rsid w:val="00061049"/>
    <w:rsid w:val="00062567"/>
    <w:rsid w:val="00064B42"/>
    <w:rsid w:val="00080B0F"/>
    <w:rsid w:val="00087E24"/>
    <w:rsid w:val="00090243"/>
    <w:rsid w:val="00091D90"/>
    <w:rsid w:val="00093021"/>
    <w:rsid w:val="000952F5"/>
    <w:rsid w:val="00095B7C"/>
    <w:rsid w:val="000A1466"/>
    <w:rsid w:val="000B6574"/>
    <w:rsid w:val="000D5F06"/>
    <w:rsid w:val="000D7BCB"/>
    <w:rsid w:val="000E181E"/>
    <w:rsid w:val="000E6789"/>
    <w:rsid w:val="001022DB"/>
    <w:rsid w:val="00110B63"/>
    <w:rsid w:val="0011289C"/>
    <w:rsid w:val="001136B1"/>
    <w:rsid w:val="001161C0"/>
    <w:rsid w:val="00127F5F"/>
    <w:rsid w:val="0015472F"/>
    <w:rsid w:val="0016052F"/>
    <w:rsid w:val="00162C91"/>
    <w:rsid w:val="00172D0A"/>
    <w:rsid w:val="0017320D"/>
    <w:rsid w:val="00180BD4"/>
    <w:rsid w:val="0018633A"/>
    <w:rsid w:val="0019212C"/>
    <w:rsid w:val="001A27B9"/>
    <w:rsid w:val="001A49B1"/>
    <w:rsid w:val="001A601B"/>
    <w:rsid w:val="001A6708"/>
    <w:rsid w:val="001A79BC"/>
    <w:rsid w:val="001B261B"/>
    <w:rsid w:val="001B79B2"/>
    <w:rsid w:val="001C03FE"/>
    <w:rsid w:val="001D5D55"/>
    <w:rsid w:val="001F6A6F"/>
    <w:rsid w:val="001F7756"/>
    <w:rsid w:val="00200142"/>
    <w:rsid w:val="00202C16"/>
    <w:rsid w:val="002061B6"/>
    <w:rsid w:val="00212744"/>
    <w:rsid w:val="002174D8"/>
    <w:rsid w:val="00222A14"/>
    <w:rsid w:val="00235627"/>
    <w:rsid w:val="00242335"/>
    <w:rsid w:val="00244732"/>
    <w:rsid w:val="00245BAC"/>
    <w:rsid w:val="002826DC"/>
    <w:rsid w:val="0028471E"/>
    <w:rsid w:val="00284B8A"/>
    <w:rsid w:val="00295EE6"/>
    <w:rsid w:val="002A0186"/>
    <w:rsid w:val="002B36FF"/>
    <w:rsid w:val="002C0679"/>
    <w:rsid w:val="002C0792"/>
    <w:rsid w:val="002C3A39"/>
    <w:rsid w:val="002D3A53"/>
    <w:rsid w:val="002D4F4B"/>
    <w:rsid w:val="002E0F4E"/>
    <w:rsid w:val="002E2651"/>
    <w:rsid w:val="002E522A"/>
    <w:rsid w:val="002E5514"/>
    <w:rsid w:val="002F6BA2"/>
    <w:rsid w:val="003008FB"/>
    <w:rsid w:val="00300CFC"/>
    <w:rsid w:val="00305A38"/>
    <w:rsid w:val="00312AA1"/>
    <w:rsid w:val="003204FD"/>
    <w:rsid w:val="00321D81"/>
    <w:rsid w:val="00325857"/>
    <w:rsid w:val="00330327"/>
    <w:rsid w:val="00334592"/>
    <w:rsid w:val="00336F3C"/>
    <w:rsid w:val="0034457C"/>
    <w:rsid w:val="00355C82"/>
    <w:rsid w:val="00364260"/>
    <w:rsid w:val="0037159C"/>
    <w:rsid w:val="00382212"/>
    <w:rsid w:val="00385325"/>
    <w:rsid w:val="00385958"/>
    <w:rsid w:val="003B5C64"/>
    <w:rsid w:val="003C165E"/>
    <w:rsid w:val="003C5342"/>
    <w:rsid w:val="003E2530"/>
    <w:rsid w:val="003F100A"/>
    <w:rsid w:val="003F4B6E"/>
    <w:rsid w:val="00400E0F"/>
    <w:rsid w:val="00403A81"/>
    <w:rsid w:val="00411C5D"/>
    <w:rsid w:val="00420E15"/>
    <w:rsid w:val="004239AF"/>
    <w:rsid w:val="00423FF2"/>
    <w:rsid w:val="0045024B"/>
    <w:rsid w:val="0045183B"/>
    <w:rsid w:val="00462799"/>
    <w:rsid w:val="0047363B"/>
    <w:rsid w:val="00483244"/>
    <w:rsid w:val="0048644B"/>
    <w:rsid w:val="00486909"/>
    <w:rsid w:val="004879D1"/>
    <w:rsid w:val="004917F3"/>
    <w:rsid w:val="0049623D"/>
    <w:rsid w:val="00496E6E"/>
    <w:rsid w:val="00497189"/>
    <w:rsid w:val="004C420C"/>
    <w:rsid w:val="004D46E0"/>
    <w:rsid w:val="004D5EF5"/>
    <w:rsid w:val="004E7034"/>
    <w:rsid w:val="004F1C5D"/>
    <w:rsid w:val="004F5771"/>
    <w:rsid w:val="004F62C5"/>
    <w:rsid w:val="005017A7"/>
    <w:rsid w:val="00511134"/>
    <w:rsid w:val="00535850"/>
    <w:rsid w:val="00543D16"/>
    <w:rsid w:val="00544640"/>
    <w:rsid w:val="005452B7"/>
    <w:rsid w:val="0055602A"/>
    <w:rsid w:val="00567462"/>
    <w:rsid w:val="00586E19"/>
    <w:rsid w:val="005911CC"/>
    <w:rsid w:val="00595E46"/>
    <w:rsid w:val="005A1741"/>
    <w:rsid w:val="005A1781"/>
    <w:rsid w:val="005A5DCF"/>
    <w:rsid w:val="005B0A67"/>
    <w:rsid w:val="005B7523"/>
    <w:rsid w:val="005C0EF6"/>
    <w:rsid w:val="005C3566"/>
    <w:rsid w:val="005C56D6"/>
    <w:rsid w:val="005C5A59"/>
    <w:rsid w:val="005C6B59"/>
    <w:rsid w:val="005D2A60"/>
    <w:rsid w:val="005D4921"/>
    <w:rsid w:val="005E13F5"/>
    <w:rsid w:val="005E4853"/>
    <w:rsid w:val="005F5F07"/>
    <w:rsid w:val="00602A42"/>
    <w:rsid w:val="006035BD"/>
    <w:rsid w:val="0061178C"/>
    <w:rsid w:val="006159E7"/>
    <w:rsid w:val="00626E3B"/>
    <w:rsid w:val="006309CC"/>
    <w:rsid w:val="00632A94"/>
    <w:rsid w:val="0064439D"/>
    <w:rsid w:val="0064659E"/>
    <w:rsid w:val="006525B7"/>
    <w:rsid w:val="00661496"/>
    <w:rsid w:val="00663644"/>
    <w:rsid w:val="006748E3"/>
    <w:rsid w:val="00676229"/>
    <w:rsid w:val="00680045"/>
    <w:rsid w:val="006818E7"/>
    <w:rsid w:val="006927FB"/>
    <w:rsid w:val="006A745E"/>
    <w:rsid w:val="006B3BC8"/>
    <w:rsid w:val="006B6665"/>
    <w:rsid w:val="006C255A"/>
    <w:rsid w:val="006C273A"/>
    <w:rsid w:val="00723F01"/>
    <w:rsid w:val="00724C47"/>
    <w:rsid w:val="00726CED"/>
    <w:rsid w:val="00730F0F"/>
    <w:rsid w:val="00734093"/>
    <w:rsid w:val="007369FC"/>
    <w:rsid w:val="00743618"/>
    <w:rsid w:val="007502AD"/>
    <w:rsid w:val="007511F2"/>
    <w:rsid w:val="007623F9"/>
    <w:rsid w:val="00766080"/>
    <w:rsid w:val="00773C49"/>
    <w:rsid w:val="007767F8"/>
    <w:rsid w:val="00781E4D"/>
    <w:rsid w:val="00787D2C"/>
    <w:rsid w:val="007925E7"/>
    <w:rsid w:val="007A3EB3"/>
    <w:rsid w:val="007A4AB3"/>
    <w:rsid w:val="007B09B6"/>
    <w:rsid w:val="007B6F82"/>
    <w:rsid w:val="007C1B88"/>
    <w:rsid w:val="007E28F5"/>
    <w:rsid w:val="007F28BC"/>
    <w:rsid w:val="007F5A97"/>
    <w:rsid w:val="007F661A"/>
    <w:rsid w:val="008039DE"/>
    <w:rsid w:val="00814D1B"/>
    <w:rsid w:val="008151FB"/>
    <w:rsid w:val="008161E9"/>
    <w:rsid w:val="00825357"/>
    <w:rsid w:val="008302FB"/>
    <w:rsid w:val="008303E6"/>
    <w:rsid w:val="00833A02"/>
    <w:rsid w:val="00840632"/>
    <w:rsid w:val="00857897"/>
    <w:rsid w:val="00867BBE"/>
    <w:rsid w:val="00876106"/>
    <w:rsid w:val="00884729"/>
    <w:rsid w:val="00890DEE"/>
    <w:rsid w:val="008A1CEF"/>
    <w:rsid w:val="008A6DC2"/>
    <w:rsid w:val="008B5FA0"/>
    <w:rsid w:val="008B710C"/>
    <w:rsid w:val="008C09A3"/>
    <w:rsid w:val="008F4922"/>
    <w:rsid w:val="00901A2A"/>
    <w:rsid w:val="009030F9"/>
    <w:rsid w:val="0091078A"/>
    <w:rsid w:val="009126BC"/>
    <w:rsid w:val="009143CC"/>
    <w:rsid w:val="00914C77"/>
    <w:rsid w:val="00920DAE"/>
    <w:rsid w:val="00950142"/>
    <w:rsid w:val="009502A7"/>
    <w:rsid w:val="00961AD7"/>
    <w:rsid w:val="0097221B"/>
    <w:rsid w:val="00974413"/>
    <w:rsid w:val="00981C0D"/>
    <w:rsid w:val="009863D3"/>
    <w:rsid w:val="00995790"/>
    <w:rsid w:val="009A7E26"/>
    <w:rsid w:val="009A7FF6"/>
    <w:rsid w:val="009B396A"/>
    <w:rsid w:val="009D2C39"/>
    <w:rsid w:val="00A008FB"/>
    <w:rsid w:val="00A03EBC"/>
    <w:rsid w:val="00A10F31"/>
    <w:rsid w:val="00A14B5C"/>
    <w:rsid w:val="00A15A78"/>
    <w:rsid w:val="00A1645B"/>
    <w:rsid w:val="00A27F64"/>
    <w:rsid w:val="00A35207"/>
    <w:rsid w:val="00A419DB"/>
    <w:rsid w:val="00A47FE0"/>
    <w:rsid w:val="00A55542"/>
    <w:rsid w:val="00A61A88"/>
    <w:rsid w:val="00A62C32"/>
    <w:rsid w:val="00A63A5E"/>
    <w:rsid w:val="00A63FE3"/>
    <w:rsid w:val="00A64D79"/>
    <w:rsid w:val="00A65D81"/>
    <w:rsid w:val="00A7337F"/>
    <w:rsid w:val="00A7734B"/>
    <w:rsid w:val="00AA19FA"/>
    <w:rsid w:val="00AA1FA7"/>
    <w:rsid w:val="00AA5A68"/>
    <w:rsid w:val="00AB6C44"/>
    <w:rsid w:val="00AB7932"/>
    <w:rsid w:val="00AC39A4"/>
    <w:rsid w:val="00AC4CA4"/>
    <w:rsid w:val="00AC6068"/>
    <w:rsid w:val="00AE2956"/>
    <w:rsid w:val="00AE5F32"/>
    <w:rsid w:val="00AE7D0C"/>
    <w:rsid w:val="00AF676D"/>
    <w:rsid w:val="00AF6B61"/>
    <w:rsid w:val="00B03983"/>
    <w:rsid w:val="00B06445"/>
    <w:rsid w:val="00B06663"/>
    <w:rsid w:val="00B1218A"/>
    <w:rsid w:val="00B3435E"/>
    <w:rsid w:val="00B47E9E"/>
    <w:rsid w:val="00B50547"/>
    <w:rsid w:val="00B51232"/>
    <w:rsid w:val="00B51766"/>
    <w:rsid w:val="00B53425"/>
    <w:rsid w:val="00B54D91"/>
    <w:rsid w:val="00B54E01"/>
    <w:rsid w:val="00B55485"/>
    <w:rsid w:val="00B643A0"/>
    <w:rsid w:val="00B81E0D"/>
    <w:rsid w:val="00B859C8"/>
    <w:rsid w:val="00B868E4"/>
    <w:rsid w:val="00B87957"/>
    <w:rsid w:val="00BB19BE"/>
    <w:rsid w:val="00BB514B"/>
    <w:rsid w:val="00BC0DCB"/>
    <w:rsid w:val="00BC1F47"/>
    <w:rsid w:val="00BC407D"/>
    <w:rsid w:val="00BC5B8B"/>
    <w:rsid w:val="00BD49EF"/>
    <w:rsid w:val="00BD74D7"/>
    <w:rsid w:val="00BE69FA"/>
    <w:rsid w:val="00C045A4"/>
    <w:rsid w:val="00C21D7D"/>
    <w:rsid w:val="00C24475"/>
    <w:rsid w:val="00C30440"/>
    <w:rsid w:val="00C35EE0"/>
    <w:rsid w:val="00C438D7"/>
    <w:rsid w:val="00C45A6A"/>
    <w:rsid w:val="00C46082"/>
    <w:rsid w:val="00C506FE"/>
    <w:rsid w:val="00C5695C"/>
    <w:rsid w:val="00C57B76"/>
    <w:rsid w:val="00C62754"/>
    <w:rsid w:val="00C74DD0"/>
    <w:rsid w:val="00C80714"/>
    <w:rsid w:val="00C826C6"/>
    <w:rsid w:val="00C976FF"/>
    <w:rsid w:val="00CA4E8D"/>
    <w:rsid w:val="00CB684E"/>
    <w:rsid w:val="00CD7AC0"/>
    <w:rsid w:val="00CE5732"/>
    <w:rsid w:val="00D070A1"/>
    <w:rsid w:val="00D14677"/>
    <w:rsid w:val="00D43856"/>
    <w:rsid w:val="00D4536B"/>
    <w:rsid w:val="00D5049C"/>
    <w:rsid w:val="00D7451D"/>
    <w:rsid w:val="00D772EB"/>
    <w:rsid w:val="00D87122"/>
    <w:rsid w:val="00D964E6"/>
    <w:rsid w:val="00DA0847"/>
    <w:rsid w:val="00DA25E0"/>
    <w:rsid w:val="00DB006F"/>
    <w:rsid w:val="00DC03C8"/>
    <w:rsid w:val="00DC4431"/>
    <w:rsid w:val="00DD11A5"/>
    <w:rsid w:val="00DD20BB"/>
    <w:rsid w:val="00DD6207"/>
    <w:rsid w:val="00DD7AE3"/>
    <w:rsid w:val="00DE1724"/>
    <w:rsid w:val="00DE25D0"/>
    <w:rsid w:val="00DE57DF"/>
    <w:rsid w:val="00DF6A2B"/>
    <w:rsid w:val="00E045EA"/>
    <w:rsid w:val="00E05658"/>
    <w:rsid w:val="00E22697"/>
    <w:rsid w:val="00E22CC3"/>
    <w:rsid w:val="00E2474B"/>
    <w:rsid w:val="00E33E0D"/>
    <w:rsid w:val="00E360D6"/>
    <w:rsid w:val="00E54B03"/>
    <w:rsid w:val="00E551F7"/>
    <w:rsid w:val="00E66624"/>
    <w:rsid w:val="00E66A83"/>
    <w:rsid w:val="00E72536"/>
    <w:rsid w:val="00E7290A"/>
    <w:rsid w:val="00E731B7"/>
    <w:rsid w:val="00E97760"/>
    <w:rsid w:val="00EA1222"/>
    <w:rsid w:val="00EA2CCB"/>
    <w:rsid w:val="00EA2E67"/>
    <w:rsid w:val="00EA664C"/>
    <w:rsid w:val="00EA705E"/>
    <w:rsid w:val="00EC6A27"/>
    <w:rsid w:val="00ED0314"/>
    <w:rsid w:val="00ED2EDA"/>
    <w:rsid w:val="00ED5C1B"/>
    <w:rsid w:val="00ED6641"/>
    <w:rsid w:val="00EF086B"/>
    <w:rsid w:val="00F0088E"/>
    <w:rsid w:val="00F06953"/>
    <w:rsid w:val="00F16D8A"/>
    <w:rsid w:val="00F24C2C"/>
    <w:rsid w:val="00F401E7"/>
    <w:rsid w:val="00F44460"/>
    <w:rsid w:val="00F45431"/>
    <w:rsid w:val="00F47760"/>
    <w:rsid w:val="00F52BD8"/>
    <w:rsid w:val="00F554B8"/>
    <w:rsid w:val="00F5788B"/>
    <w:rsid w:val="00F61152"/>
    <w:rsid w:val="00F7306E"/>
    <w:rsid w:val="00F73550"/>
    <w:rsid w:val="00F73EE9"/>
    <w:rsid w:val="00F804AB"/>
    <w:rsid w:val="00F877B5"/>
    <w:rsid w:val="00F970C1"/>
    <w:rsid w:val="00F97BC3"/>
    <w:rsid w:val="00FA306B"/>
    <w:rsid w:val="00FC63A1"/>
    <w:rsid w:val="00FD137F"/>
    <w:rsid w:val="00FE143D"/>
    <w:rsid w:val="00FE2839"/>
    <w:rsid w:val="00FE57A7"/>
    <w:rsid w:val="00FF10EF"/>
    <w:rsid w:val="00FF3D53"/>
    <w:rsid w:val="00FF4D51"/>
    <w:rsid w:val="1AE10A7E"/>
    <w:rsid w:val="73B4C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F40E2"/>
  <w15:chartTrackingRefBased/>
  <w15:docId w15:val="{597509A5-6650-4D0F-97A7-EDBD5A25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910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1078A"/>
  </w:style>
  <w:style w:type="paragraph" w:styleId="Zpat">
    <w:name w:val="footer"/>
    <w:basedOn w:val="Normln"/>
    <w:link w:val="ZpatChar"/>
    <w:uiPriority w:val="99"/>
    <w:semiHidden/>
    <w:unhideWhenUsed/>
    <w:rsid w:val="00910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078A"/>
  </w:style>
  <w:style w:type="paragraph" w:styleId="Textbubliny">
    <w:name w:val="Balloon Text"/>
    <w:basedOn w:val="Normln"/>
    <w:link w:val="TextbublinyChar"/>
    <w:uiPriority w:val="99"/>
    <w:semiHidden/>
    <w:unhideWhenUsed/>
    <w:rsid w:val="002C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67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A25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25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25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25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25E0"/>
    <w:rPr>
      <w:b/>
      <w:bCs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1A49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Odstavecseseznamem">
    <w:name w:val="List Paragraph"/>
    <w:basedOn w:val="Normln"/>
    <w:uiPriority w:val="34"/>
    <w:qFormat/>
    <w:rsid w:val="0048324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F5409D-DC9D-4018-B721-5A839512B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FF866-EC2A-4B6F-BA5B-F684F7120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E5AA3E-037D-4EE1-A825-57780C382A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904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Váňa Jakub</dc:creator>
  <cp:keywords/>
  <dc:description/>
  <cp:lastModifiedBy>Lenka Jelínková (OZ obchodní)</cp:lastModifiedBy>
  <cp:revision>2</cp:revision>
  <cp:lastPrinted>2021-01-25T08:51:00Z</cp:lastPrinted>
  <dcterms:created xsi:type="dcterms:W3CDTF">2023-02-23T11:09:00Z</dcterms:created>
  <dcterms:modified xsi:type="dcterms:W3CDTF">2023-02-23T11:09:00Z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2021-01-02T14:13:49.6719732Z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c40b5604-cb1f-4d0a-915c-63cb0852015d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0x0101003982F19D5B9C164687FB30321494E4CE</vt:lpwstr>
  </property>
</Properties>
</file>