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1254E85B" w14:textId="0BB2F98D" w:rsidR="00015EE6" w:rsidRPr="00015EE6" w:rsidRDefault="00015EE6" w:rsidP="00015EE6">
      <w:pPr>
        <w:pStyle w:val="Zhlav"/>
        <w:spacing w:after="120"/>
        <w:ind w:left="720"/>
        <w:jc w:val="center"/>
        <w:rPr>
          <w:b/>
          <w:bCs/>
          <w:smallCaps/>
          <w:spacing w:val="30"/>
          <w:sz w:val="36"/>
          <w:szCs w:val="36"/>
          <w:lang w:val="en-US"/>
        </w:rPr>
      </w:pPr>
      <w:r w:rsidRPr="00015EE6">
        <w:rPr>
          <w:b/>
          <w:bCs/>
          <w:smallCaps/>
          <w:spacing w:val="30"/>
          <w:sz w:val="36"/>
          <w:szCs w:val="36"/>
          <w:lang w:val="en-US"/>
        </w:rPr>
        <w:t xml:space="preserve">III/3935 </w:t>
      </w:r>
      <w:proofErr w:type="spellStart"/>
      <w:r w:rsidRPr="00015EE6">
        <w:rPr>
          <w:b/>
          <w:bCs/>
          <w:smallCaps/>
          <w:spacing w:val="30"/>
          <w:sz w:val="36"/>
          <w:szCs w:val="36"/>
          <w:lang w:val="en-US"/>
        </w:rPr>
        <w:t>Nová</w:t>
      </w:r>
      <w:proofErr w:type="spellEnd"/>
      <w:r w:rsidRPr="00015EE6">
        <w:rPr>
          <w:b/>
          <w:bCs/>
          <w:smallCaps/>
          <w:spacing w:val="30"/>
          <w:sz w:val="36"/>
          <w:szCs w:val="36"/>
          <w:lang w:val="en-US"/>
        </w:rPr>
        <w:t xml:space="preserve"> </w:t>
      </w:r>
      <w:proofErr w:type="spellStart"/>
      <w:r w:rsidRPr="00015EE6">
        <w:rPr>
          <w:b/>
          <w:bCs/>
          <w:smallCaps/>
          <w:spacing w:val="30"/>
          <w:sz w:val="36"/>
          <w:szCs w:val="36"/>
          <w:lang w:val="en-US"/>
        </w:rPr>
        <w:t>Ves</w:t>
      </w:r>
      <w:proofErr w:type="spellEnd"/>
      <w:r w:rsidRPr="00015EE6">
        <w:rPr>
          <w:b/>
          <w:bCs/>
          <w:smallCaps/>
          <w:spacing w:val="30"/>
          <w:sz w:val="36"/>
          <w:szCs w:val="36"/>
          <w:lang w:val="en-US"/>
        </w:rPr>
        <w:t xml:space="preserve"> - </w:t>
      </w:r>
      <w:proofErr w:type="spellStart"/>
      <w:r w:rsidRPr="00015EE6">
        <w:rPr>
          <w:b/>
          <w:bCs/>
          <w:smallCaps/>
          <w:spacing w:val="30"/>
          <w:sz w:val="36"/>
          <w:szCs w:val="36"/>
          <w:lang w:val="en-US"/>
        </w:rPr>
        <w:t>Senorady</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19AF555" w:rsidR="00EF5CAB" w:rsidRPr="00015EE6" w:rsidRDefault="004E31FE" w:rsidP="00015EE6">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427884" w:rsidRPr="00427884">
        <w:rPr>
          <w:sz w:val="21"/>
          <w:szCs w:val="21"/>
        </w:rPr>
        <w:t xml:space="preserve"> </w:t>
      </w:r>
      <w:r w:rsidR="00015EE6" w:rsidRPr="00015EE6">
        <w:rPr>
          <w:sz w:val="21"/>
          <w:szCs w:val="21"/>
        </w:rPr>
        <w:t>silnice III/3935 v km 3,340 – 4,740 (délka úseku 1,400 km) mezi obcemi Nová Ves a Senorady (křižovatka se silnicí III/3936) z důvodu obnovení drsnosti povrchu, zamezení ztráty pojiva a kameniva z obrusné vrstvy, prodloužení životnosti vozovky.</w:t>
      </w:r>
      <w:r w:rsidR="00015EE6">
        <w:rPr>
          <w:sz w:val="21"/>
          <w:szCs w:val="21"/>
        </w:rPr>
        <w:t xml:space="preserve"> </w:t>
      </w:r>
      <w:r w:rsidR="00015EE6" w:rsidRPr="00015EE6">
        <w:rPr>
          <w:sz w:val="21"/>
          <w:szCs w:val="21"/>
        </w:rPr>
        <w:t xml:space="preserve">Technologie </w:t>
      </w:r>
      <w:proofErr w:type="gramStart"/>
      <w:r w:rsidR="00015EE6" w:rsidRPr="00015EE6">
        <w:rPr>
          <w:sz w:val="21"/>
          <w:szCs w:val="21"/>
        </w:rPr>
        <w:t>opravy:  lokální</w:t>
      </w:r>
      <w:proofErr w:type="gramEnd"/>
      <w:r w:rsidR="00015EE6" w:rsidRPr="00015EE6">
        <w:rPr>
          <w:sz w:val="21"/>
          <w:szCs w:val="21"/>
        </w:rPr>
        <w:t xml:space="preserve"> sanace vozovky, oprava nerovností a deformací povrchu vozovky, výsprava trhlin asfaltovou zálivkou, dvouvrstvý emulzní mikrokoberec z frakce kameniva 0/8 a vodorovné dopravní značení barvou </w:t>
      </w:r>
      <w:r w:rsidR="00CF2365" w:rsidRPr="00015EE6">
        <w:rPr>
          <w:sz w:val="21"/>
          <w:szCs w:val="21"/>
        </w:rPr>
        <w:t>(dále také „dílo“ nebo „stavba“)</w:t>
      </w:r>
      <w:r w:rsidR="005C340C" w:rsidRPr="00015EE6">
        <w:rPr>
          <w:sz w:val="21"/>
          <w:szCs w:val="21"/>
        </w:rPr>
        <w:t>.</w:t>
      </w:r>
      <w:r w:rsidR="00EF5CAB" w:rsidRPr="00015EE6">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E518CE1"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oblasti </w:t>
      </w:r>
      <w:proofErr w:type="gramStart"/>
      <w:r w:rsidR="00427884" w:rsidRPr="00427884">
        <w:rPr>
          <w:sz w:val="21"/>
          <w:szCs w:val="21"/>
        </w:rPr>
        <w:t>Střed</w:t>
      </w:r>
      <w:proofErr w:type="gramEnd"/>
      <w:r w:rsidR="00427884" w:rsidRPr="00427884">
        <w:rPr>
          <w:sz w:val="21"/>
          <w:szCs w:val="21"/>
        </w:rPr>
        <w:t>, Ořechovská 35, 602 00 Brno</w:t>
      </w:r>
      <w:r w:rsidR="00C45492" w:rsidRPr="00C45492">
        <w:rPr>
          <w:sz w:val="21"/>
          <w:szCs w:val="21"/>
        </w:rPr>
        <w:t>.</w:t>
      </w:r>
      <w:r w:rsidR="00EF5CAB" w:rsidRPr="005C340C">
        <w:rPr>
          <w:sz w:val="21"/>
          <w:szCs w:val="21"/>
        </w:rPr>
        <w:t xml:space="preserve"> </w:t>
      </w:r>
    </w:p>
    <w:p w14:paraId="42B9A51A" w14:textId="674ADC4D"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755A15">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356" w:type="dxa"/>
        <w:tblInd w:w="534" w:type="dxa"/>
        <w:tblLook w:val="01E0" w:firstRow="1" w:lastRow="1" w:firstColumn="1" w:lastColumn="1" w:noHBand="0" w:noVBand="0"/>
      </w:tblPr>
      <w:tblGrid>
        <w:gridCol w:w="5670"/>
        <w:gridCol w:w="3686"/>
      </w:tblGrid>
      <w:tr w:rsidR="00EF5CAB" w:rsidRPr="00EE2124" w14:paraId="3E8C103E" w14:textId="77777777" w:rsidTr="00647B67">
        <w:trPr>
          <w:trHeight w:val="256"/>
        </w:trPr>
        <w:tc>
          <w:tcPr>
            <w:tcW w:w="5670" w:type="dxa"/>
          </w:tcPr>
          <w:p w14:paraId="7AF2F6AF" w14:textId="7E06B955"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3686" w:type="dxa"/>
          </w:tcPr>
          <w:p w14:paraId="55EEA064" w14:textId="467ABF6E"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B74FD2">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647B67">
        <w:trPr>
          <w:trHeight w:val="256"/>
        </w:trPr>
        <w:tc>
          <w:tcPr>
            <w:tcW w:w="5670"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7502C05D" w:rsidR="00934D67" w:rsidRDefault="00934D67" w:rsidP="00C45492">
            <w:pPr>
              <w:tabs>
                <w:tab w:val="num" w:pos="540"/>
              </w:tabs>
              <w:spacing w:before="120" w:after="120"/>
              <w:jc w:val="right"/>
              <w:rPr>
                <w:b/>
                <w:sz w:val="21"/>
                <w:szCs w:val="21"/>
              </w:rPr>
            </w:pPr>
            <w:r>
              <w:rPr>
                <w:b/>
                <w:sz w:val="21"/>
                <w:szCs w:val="21"/>
              </w:rPr>
              <w:t xml:space="preserve">do 30 dnů od předání </w:t>
            </w:r>
            <w:r w:rsidR="009E140D">
              <w:rPr>
                <w:b/>
                <w:sz w:val="21"/>
                <w:szCs w:val="21"/>
              </w:rPr>
              <w:t xml:space="preserve">a převzetí </w:t>
            </w:r>
            <w:r>
              <w:rPr>
                <w:b/>
                <w:sz w:val="21"/>
                <w:szCs w:val="21"/>
              </w:rPr>
              <w:t>staveniště</w:t>
            </w:r>
          </w:p>
        </w:tc>
      </w:tr>
      <w:tr w:rsidR="00EF5CAB" w:rsidRPr="00EE2124" w14:paraId="4C68A901" w14:textId="77777777" w:rsidTr="00647B67">
        <w:trPr>
          <w:trHeight w:val="256"/>
        </w:trPr>
        <w:tc>
          <w:tcPr>
            <w:tcW w:w="5670"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E4EB8AA"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1E3B63">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1E14DC20"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w:t>
      </w:r>
      <w:r w:rsidR="009A06C6" w:rsidRPr="00514C90">
        <w:rPr>
          <w:sz w:val="22"/>
          <w:szCs w:val="22"/>
        </w:rPr>
        <w:t>v souladu s </w:t>
      </w:r>
      <w:r w:rsidR="009A06C6">
        <w:rPr>
          <w:sz w:val="21"/>
          <w:szCs w:val="21"/>
        </w:rPr>
        <w:t>§ 166 zákona č. 283/2021 Sb., Stavební zákon</w:t>
      </w:r>
      <w:r w:rsidR="009A06C6"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33297297" w:rsidR="00245247" w:rsidRP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41E483CD" w14:textId="12554800" w:rsidR="001E3B63" w:rsidRPr="00036D33" w:rsidRDefault="001E3B63" w:rsidP="001E3B63">
      <w:pPr>
        <w:pStyle w:val="Odstavecseseznamem"/>
        <w:numPr>
          <w:ilvl w:val="0"/>
          <w:numId w:val="19"/>
        </w:numPr>
        <w:tabs>
          <w:tab w:val="clear" w:pos="928"/>
          <w:tab w:val="num" w:pos="502"/>
          <w:tab w:val="left" w:pos="540"/>
        </w:tabs>
        <w:spacing w:before="120" w:after="120"/>
        <w:ind w:left="502"/>
        <w:jc w:val="both"/>
        <w:rPr>
          <w:sz w:val="21"/>
          <w:szCs w:val="21"/>
        </w:rPr>
      </w:pPr>
      <w:bookmarkStart w:id="1" w:name="_Hlk164860014"/>
      <w:r w:rsidRPr="00036D33">
        <w:rPr>
          <w:sz w:val="21"/>
          <w:szCs w:val="21"/>
        </w:rPr>
        <w:t>Zhotovitel se zavazuje, že</w:t>
      </w:r>
    </w:p>
    <w:p w14:paraId="76A12856" w14:textId="77777777" w:rsidR="001E3B63" w:rsidRPr="00036D33" w:rsidRDefault="001E3B63" w:rsidP="001E3B6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1F95556B" w14:textId="77777777" w:rsidR="001E3B63" w:rsidRPr="00036D33" w:rsidRDefault="001E3B63" w:rsidP="001E3B6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3EFAAC2F" w14:textId="77777777" w:rsidR="001E3B63" w:rsidRPr="00036D33" w:rsidRDefault="001E3B63" w:rsidP="001E3B6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31AC5766" w14:textId="77777777" w:rsidR="001E3B63" w:rsidRPr="00036D33" w:rsidRDefault="001E3B63" w:rsidP="001E3B63">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18F578AC" w14:textId="2D0F600C" w:rsidR="003E5F40" w:rsidRPr="003E5F40" w:rsidRDefault="003E5F40" w:rsidP="001E3B63">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07EAEDEF" w:rsidR="00C02AFF" w:rsidRPr="00F139D0" w:rsidRDefault="00C02AFF" w:rsidP="00041604">
            <w:pPr>
              <w:jc w:val="center"/>
              <w:rPr>
                <w:sz w:val="21"/>
                <w:szCs w:val="21"/>
              </w:rPr>
            </w:pPr>
            <w:r>
              <w:rPr>
                <w:sz w:val="21"/>
                <w:szCs w:val="21"/>
              </w:rPr>
              <w:t xml:space="preserve">Předpokládaná cena </w:t>
            </w:r>
            <w:r w:rsidR="001F1119">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C8F4825"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1F1119">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015EE6" w:rsidRPr="00EE2124" w14:paraId="342FDF82" w14:textId="77777777" w:rsidTr="00427884">
        <w:trPr>
          <w:trHeight w:val="155"/>
        </w:trPr>
        <w:tc>
          <w:tcPr>
            <w:tcW w:w="8815" w:type="dxa"/>
          </w:tcPr>
          <w:p w14:paraId="6CB0D745" w14:textId="6E206FEC" w:rsidR="00015EE6" w:rsidRPr="00EE2124" w:rsidRDefault="00015EE6" w:rsidP="006E5628">
            <w:pPr>
              <w:tabs>
                <w:tab w:val="num" w:pos="432"/>
              </w:tabs>
              <w:spacing w:before="120" w:after="120"/>
              <w:ind w:left="432"/>
              <w:rPr>
                <w:sz w:val="21"/>
                <w:szCs w:val="21"/>
              </w:rPr>
            </w:pPr>
            <w:r w:rsidRPr="00D41D36">
              <w:rPr>
                <w:sz w:val="21"/>
                <w:szCs w:val="21"/>
              </w:rPr>
              <w:t>Záruku za vodorovné značení barvou</w:t>
            </w:r>
          </w:p>
        </w:tc>
        <w:tc>
          <w:tcPr>
            <w:tcW w:w="1371" w:type="dxa"/>
          </w:tcPr>
          <w:p w14:paraId="573F586B" w14:textId="6D72AFE3" w:rsidR="00015EE6" w:rsidRPr="00EE2124" w:rsidRDefault="00015EE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lastRenderedPageBreak/>
              <w:t>V případě prodlení zhotovitele s plněním této smlouvy oproti lhůtám dle čl. II. odst. 1. této smlouvy</w:t>
            </w:r>
          </w:p>
        </w:tc>
        <w:tc>
          <w:tcPr>
            <w:tcW w:w="2694" w:type="dxa"/>
            <w:vAlign w:val="bottom"/>
          </w:tcPr>
          <w:p w14:paraId="606818D2" w14:textId="0D919821" w:rsidR="00C02AFF" w:rsidRPr="00746838" w:rsidRDefault="00427884"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22D70912" w:rsidR="00C02AFF" w:rsidRPr="00917BB2" w:rsidRDefault="00461597" w:rsidP="00461597">
            <w:pPr>
              <w:tabs>
                <w:tab w:val="num" w:pos="34"/>
              </w:tabs>
              <w:spacing w:before="120" w:after="120"/>
              <w:ind w:left="34"/>
              <w:jc w:val="right"/>
              <w:rPr>
                <w:sz w:val="21"/>
                <w:szCs w:val="21"/>
              </w:rPr>
            </w:pPr>
            <w:r>
              <w:rPr>
                <w:sz w:val="21"/>
                <w:szCs w:val="21"/>
              </w:rPr>
              <w:t>1</w:t>
            </w:r>
            <w:r w:rsidR="00427884">
              <w:rPr>
                <w:sz w:val="21"/>
                <w:szCs w:val="21"/>
              </w:rPr>
              <w:t>.0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4395C8BC"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CC727A">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4F2B8D9"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0570DA">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lastRenderedPageBreak/>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74BC6221" w14:textId="77777777" w:rsidR="003E254D" w:rsidRDefault="003E254D" w:rsidP="00211DA2">
      <w:pPr>
        <w:tabs>
          <w:tab w:val="center" w:pos="4536"/>
          <w:tab w:val="right" w:pos="9072"/>
        </w:tabs>
        <w:spacing w:after="120"/>
        <w:jc w:val="both"/>
        <w:outlineLvl w:val="0"/>
        <w:rPr>
          <w:bCs/>
          <w:color w:val="000000"/>
          <w:sz w:val="21"/>
          <w:szCs w:val="21"/>
        </w:rPr>
      </w:pPr>
      <w:r w:rsidRPr="003E254D">
        <w:rPr>
          <w:bCs/>
          <w:color w:val="000000"/>
          <w:sz w:val="21"/>
          <w:szCs w:val="21"/>
          <w:lang w:val="en-US"/>
        </w:rPr>
        <w:t xml:space="preserve">Ing. </w:t>
      </w:r>
      <w:proofErr w:type="spellStart"/>
      <w:r w:rsidRPr="003E254D">
        <w:rPr>
          <w:bCs/>
          <w:color w:val="000000"/>
          <w:sz w:val="21"/>
          <w:szCs w:val="21"/>
          <w:lang w:val="en-US"/>
        </w:rPr>
        <w:t>Vojtěch</w:t>
      </w:r>
      <w:proofErr w:type="spellEnd"/>
      <w:r w:rsidRPr="003E254D">
        <w:rPr>
          <w:bCs/>
          <w:color w:val="000000"/>
          <w:sz w:val="21"/>
          <w:szCs w:val="21"/>
          <w:lang w:val="en-US"/>
        </w:rPr>
        <w:t xml:space="preserve"> </w:t>
      </w:r>
      <w:proofErr w:type="spellStart"/>
      <w:r w:rsidRPr="003E254D">
        <w:rPr>
          <w:bCs/>
          <w:color w:val="000000"/>
          <w:sz w:val="21"/>
          <w:szCs w:val="21"/>
          <w:lang w:val="en-US"/>
        </w:rPr>
        <w:t>Vybíral</w:t>
      </w:r>
      <w:proofErr w:type="spellEnd"/>
      <w:r w:rsidRPr="003E254D">
        <w:rPr>
          <w:bCs/>
          <w:color w:val="000000"/>
          <w:sz w:val="21"/>
          <w:szCs w:val="21"/>
          <w:lang w:val="en-US"/>
        </w:rPr>
        <w:t xml:space="preserve">, </w:t>
      </w:r>
      <w:proofErr w:type="spellStart"/>
      <w:r w:rsidRPr="003E254D">
        <w:rPr>
          <w:bCs/>
          <w:color w:val="000000"/>
          <w:sz w:val="21"/>
          <w:szCs w:val="21"/>
          <w:lang w:val="en-US"/>
        </w:rPr>
        <w:t>vedoucí</w:t>
      </w:r>
      <w:proofErr w:type="spellEnd"/>
      <w:r w:rsidRPr="003E254D">
        <w:rPr>
          <w:bCs/>
          <w:color w:val="000000"/>
          <w:sz w:val="21"/>
          <w:szCs w:val="21"/>
          <w:lang w:val="en-US"/>
        </w:rPr>
        <w:t xml:space="preserve"> </w:t>
      </w:r>
      <w:proofErr w:type="spellStart"/>
      <w:r w:rsidRPr="003E254D">
        <w:rPr>
          <w:bCs/>
          <w:color w:val="000000"/>
          <w:sz w:val="21"/>
          <w:szCs w:val="21"/>
          <w:lang w:val="en-US"/>
        </w:rPr>
        <w:t>oblasti</w:t>
      </w:r>
      <w:proofErr w:type="spellEnd"/>
      <w:r w:rsidRPr="003E254D">
        <w:rPr>
          <w:bCs/>
          <w:color w:val="000000"/>
          <w:sz w:val="21"/>
          <w:szCs w:val="21"/>
          <w:lang w:val="en-US"/>
        </w:rPr>
        <w:t xml:space="preserve"> </w:t>
      </w:r>
      <w:proofErr w:type="spellStart"/>
      <w:r w:rsidRPr="003E254D">
        <w:rPr>
          <w:bCs/>
          <w:color w:val="000000"/>
          <w:sz w:val="21"/>
          <w:szCs w:val="21"/>
          <w:lang w:val="en-US"/>
        </w:rPr>
        <w:t>Střed</w:t>
      </w:r>
      <w:proofErr w:type="spellEnd"/>
      <w:r w:rsidRPr="003E254D">
        <w:rPr>
          <w:bCs/>
          <w:color w:val="000000"/>
          <w:sz w:val="21"/>
          <w:szCs w:val="21"/>
        </w:rPr>
        <w:t xml:space="preserve"> </w:t>
      </w:r>
    </w:p>
    <w:p w14:paraId="13D654FA" w14:textId="2E35C5FB"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003E254D" w:rsidRPr="0066525C">
          <w:rPr>
            <w:rStyle w:val="Hypertextovodkaz"/>
            <w:bCs/>
            <w:sz w:val="21"/>
            <w:szCs w:val="21"/>
          </w:rPr>
          <w:t>vojtech.vybíral@susjmk.cz</w:t>
        </w:r>
      </w:hyperlink>
      <w:r w:rsidRPr="00211DA2">
        <w:rPr>
          <w:bCs/>
          <w:color w:val="000000"/>
          <w:sz w:val="21"/>
          <w:szCs w:val="21"/>
        </w:rPr>
        <w:t>, tel: +420 </w:t>
      </w:r>
      <w:r w:rsidR="003E254D" w:rsidRPr="003E254D">
        <w:rPr>
          <w:bCs/>
          <w:color w:val="000000"/>
          <w:sz w:val="21"/>
          <w:szCs w:val="21"/>
          <w:lang w:val="en-US"/>
        </w:rPr>
        <w:t>725 021 957</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298866E8" w14:textId="1E30F0FD" w:rsidR="00211DA2" w:rsidRDefault="00211DA2" w:rsidP="00BD3C25">
      <w:pPr>
        <w:rPr>
          <w:b/>
          <w:bCs/>
          <w:smallCaps/>
          <w:sz w:val="21"/>
          <w:szCs w:val="21"/>
        </w:rPr>
      </w:pPr>
      <w:r w:rsidRPr="00211DA2">
        <w:rPr>
          <w:b/>
          <w:bCs/>
          <w:smallCaps/>
          <w:sz w:val="21"/>
          <w:szCs w:val="21"/>
        </w:rPr>
        <w:t>Technický dozor investora</w:t>
      </w:r>
    </w:p>
    <w:p w14:paraId="5699E12A" w14:textId="77777777" w:rsidR="00BD3C25" w:rsidRPr="00BD3C25" w:rsidRDefault="00BD3C25" w:rsidP="00BD3C25">
      <w:pPr>
        <w:rPr>
          <w:b/>
          <w:bCs/>
          <w:smallCaps/>
          <w:sz w:val="21"/>
          <w:szCs w:val="21"/>
        </w:rPr>
      </w:pPr>
    </w:p>
    <w:p w14:paraId="0030CF52" w14:textId="213B0A47" w:rsidR="003E254D" w:rsidRPr="003E254D" w:rsidRDefault="003E254D" w:rsidP="003E254D">
      <w:pPr>
        <w:tabs>
          <w:tab w:val="center" w:pos="4536"/>
          <w:tab w:val="right" w:pos="9072"/>
        </w:tabs>
        <w:spacing w:after="120"/>
        <w:jc w:val="both"/>
        <w:outlineLvl w:val="0"/>
        <w:rPr>
          <w:bCs/>
          <w:color w:val="000000"/>
          <w:sz w:val="21"/>
          <w:szCs w:val="21"/>
        </w:rPr>
      </w:pPr>
      <w:r w:rsidRPr="003E254D">
        <w:rPr>
          <w:bCs/>
          <w:color w:val="000000"/>
          <w:sz w:val="21"/>
          <w:szCs w:val="21"/>
        </w:rPr>
        <w:t>Libor Tůma</w:t>
      </w:r>
      <w:r>
        <w:rPr>
          <w:bCs/>
          <w:color w:val="000000"/>
          <w:sz w:val="21"/>
          <w:szCs w:val="21"/>
        </w:rPr>
        <w:t xml:space="preserve">, oblast </w:t>
      </w:r>
      <w:proofErr w:type="gramStart"/>
      <w:r>
        <w:rPr>
          <w:bCs/>
          <w:color w:val="000000"/>
          <w:sz w:val="21"/>
          <w:szCs w:val="21"/>
        </w:rPr>
        <w:t>Střed</w:t>
      </w:r>
      <w:proofErr w:type="gramEnd"/>
      <w:r>
        <w:rPr>
          <w:bCs/>
          <w:color w:val="000000"/>
          <w:sz w:val="21"/>
          <w:szCs w:val="21"/>
        </w:rPr>
        <w:t xml:space="preserve"> – CM Rosice</w:t>
      </w:r>
    </w:p>
    <w:p w14:paraId="70E08947" w14:textId="38400182" w:rsidR="00211DA2" w:rsidRPr="00211DA2" w:rsidRDefault="004F632A"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003E254D" w:rsidRPr="0066525C">
          <w:rPr>
            <w:rStyle w:val="Hypertextovodkaz"/>
            <w:sz w:val="21"/>
            <w:szCs w:val="21"/>
          </w:rPr>
          <w:t>libor.tuma@susjmk.cz</w:t>
        </w:r>
      </w:hyperlink>
      <w:r w:rsidR="003E254D">
        <w:rPr>
          <w:bCs/>
          <w:color w:val="000000"/>
          <w:sz w:val="21"/>
          <w:szCs w:val="21"/>
        </w:rPr>
        <w:t xml:space="preserve"> , tel. +420 737 237 </w:t>
      </w:r>
      <w:r>
        <w:rPr>
          <w:bCs/>
          <w:color w:val="000000"/>
          <w:sz w:val="21"/>
          <w:szCs w:val="21"/>
        </w:rPr>
        <w:t>1</w:t>
      </w:r>
      <w:r w:rsidR="003E254D">
        <w:rPr>
          <w:bCs/>
          <w:color w:val="000000"/>
          <w:sz w:val="21"/>
          <w:szCs w:val="21"/>
        </w:rPr>
        <w:t>61</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9A06C6">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9A06C6">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9A06C6">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9A06C6">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9A06C6">
              <w:rPr>
                <w:sz w:val="20"/>
              </w:rPr>
            </w:r>
            <w:r w:rsidR="009A06C6">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9A06C6">
              <w:rPr>
                <w:sz w:val="22"/>
              </w:rPr>
            </w:r>
            <w:r w:rsidR="009A06C6">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9A06C6">
              <w:rPr>
                <w:sz w:val="22"/>
              </w:rPr>
            </w:r>
            <w:r w:rsidR="009A06C6">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D3C25">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D3C25">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D3C2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D3C25">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4E9538E7" w14:textId="487A2670" w:rsidR="00427884" w:rsidRPr="00015EE6" w:rsidRDefault="00647B67" w:rsidP="00015EE6">
          <w:pPr>
            <w:tabs>
              <w:tab w:val="left" w:pos="810"/>
            </w:tabs>
            <w:rPr>
              <w:b/>
              <w:bCs/>
              <w:spacing w:val="20"/>
              <w:sz w:val="21"/>
              <w:szCs w:val="21"/>
              <w:lang w:val="en-US"/>
            </w:rPr>
          </w:pPr>
          <w:r w:rsidRPr="004F632A">
            <w:rPr>
              <w:b/>
              <w:bCs/>
              <w:spacing w:val="20"/>
              <w:sz w:val="21"/>
              <w:szCs w:val="21"/>
            </w:rPr>
            <w:t xml:space="preserve">MIKROKOBERCE 2024 - </w:t>
          </w:r>
          <w:r w:rsidR="00015EE6" w:rsidRPr="00015EE6">
            <w:rPr>
              <w:b/>
              <w:bCs/>
              <w:spacing w:val="20"/>
              <w:sz w:val="21"/>
              <w:szCs w:val="21"/>
              <w:lang w:val="en-US"/>
            </w:rPr>
            <w:t xml:space="preserve">III/3935 </w:t>
          </w:r>
          <w:proofErr w:type="spellStart"/>
          <w:r w:rsidR="00015EE6" w:rsidRPr="00015EE6">
            <w:rPr>
              <w:b/>
              <w:bCs/>
              <w:spacing w:val="20"/>
              <w:sz w:val="21"/>
              <w:szCs w:val="21"/>
              <w:lang w:val="en-US"/>
            </w:rPr>
            <w:t>Nová</w:t>
          </w:r>
          <w:proofErr w:type="spellEnd"/>
          <w:r w:rsidR="00015EE6" w:rsidRPr="00015EE6">
            <w:rPr>
              <w:b/>
              <w:bCs/>
              <w:spacing w:val="20"/>
              <w:sz w:val="21"/>
              <w:szCs w:val="21"/>
              <w:lang w:val="en-US"/>
            </w:rPr>
            <w:t xml:space="preserve"> </w:t>
          </w:r>
          <w:proofErr w:type="spellStart"/>
          <w:proofErr w:type="gramStart"/>
          <w:r w:rsidR="00015EE6" w:rsidRPr="00015EE6">
            <w:rPr>
              <w:b/>
              <w:bCs/>
              <w:spacing w:val="20"/>
              <w:sz w:val="21"/>
              <w:szCs w:val="21"/>
              <w:lang w:val="en-US"/>
            </w:rPr>
            <w:t>Ves</w:t>
          </w:r>
          <w:proofErr w:type="spellEnd"/>
          <w:r w:rsidR="00015EE6" w:rsidRPr="00015EE6">
            <w:rPr>
              <w:b/>
              <w:bCs/>
              <w:spacing w:val="20"/>
              <w:sz w:val="21"/>
              <w:szCs w:val="21"/>
              <w:lang w:val="en-US"/>
            </w:rPr>
            <w:t xml:space="preserve"> - </w:t>
          </w:r>
          <w:proofErr w:type="spellStart"/>
          <w:r w:rsidR="00015EE6" w:rsidRPr="00015EE6">
            <w:rPr>
              <w:b/>
              <w:bCs/>
              <w:spacing w:val="20"/>
              <w:sz w:val="21"/>
              <w:szCs w:val="21"/>
              <w:lang w:val="en-US"/>
            </w:rPr>
            <w:t>Senorady</w:t>
          </w:r>
          <w:proofErr w:type="spellEnd"/>
          <w:proofErr w:type="gramEnd"/>
          <w:r w:rsidR="00015EE6" w:rsidRPr="00015EE6">
            <w:rPr>
              <w:b/>
              <w:bCs/>
              <w:spacing w:val="20"/>
              <w:sz w:val="21"/>
              <w:szCs w:val="21"/>
              <w:lang w:val="en-US"/>
            </w:rPr>
            <w:t xml:space="preserve"> </w:t>
          </w:r>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2397C4AB" w:rsidR="00647B67" w:rsidRPr="00015EE6" w:rsidRDefault="00647B67" w:rsidP="00C45492">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015EE6" w:rsidRPr="00015EE6">
            <w:rPr>
              <w:b/>
              <w:color w:val="000000"/>
              <w:sz w:val="22"/>
              <w:szCs w:val="22"/>
              <w:lang w:val="en-US"/>
            </w:rPr>
            <w:t xml:space="preserve">III/3935 </w:t>
          </w:r>
          <w:proofErr w:type="spellStart"/>
          <w:r w:rsidR="00015EE6" w:rsidRPr="00015EE6">
            <w:rPr>
              <w:b/>
              <w:color w:val="000000"/>
              <w:sz w:val="22"/>
              <w:szCs w:val="22"/>
              <w:lang w:val="en-US"/>
            </w:rPr>
            <w:t>Nová</w:t>
          </w:r>
          <w:proofErr w:type="spellEnd"/>
          <w:r w:rsidR="00015EE6" w:rsidRPr="00015EE6">
            <w:rPr>
              <w:b/>
              <w:color w:val="000000"/>
              <w:sz w:val="22"/>
              <w:szCs w:val="22"/>
              <w:lang w:val="en-US"/>
            </w:rPr>
            <w:t xml:space="preserve"> </w:t>
          </w:r>
          <w:proofErr w:type="spellStart"/>
          <w:proofErr w:type="gramStart"/>
          <w:r w:rsidR="00015EE6" w:rsidRPr="00015EE6">
            <w:rPr>
              <w:b/>
              <w:color w:val="000000"/>
              <w:sz w:val="22"/>
              <w:szCs w:val="22"/>
              <w:lang w:val="en-US"/>
            </w:rPr>
            <w:t>Ves</w:t>
          </w:r>
          <w:proofErr w:type="spellEnd"/>
          <w:r w:rsidR="00015EE6" w:rsidRPr="00015EE6">
            <w:rPr>
              <w:b/>
              <w:color w:val="000000"/>
              <w:sz w:val="22"/>
              <w:szCs w:val="22"/>
              <w:lang w:val="en-US"/>
            </w:rPr>
            <w:t xml:space="preserve"> - </w:t>
          </w:r>
          <w:proofErr w:type="spellStart"/>
          <w:r w:rsidR="00015EE6" w:rsidRPr="00015EE6">
            <w:rPr>
              <w:b/>
              <w:color w:val="000000"/>
              <w:sz w:val="22"/>
              <w:szCs w:val="22"/>
              <w:lang w:val="en-US"/>
            </w:rPr>
            <w:t>Senorady</w:t>
          </w:r>
          <w:proofErr w:type="spellEnd"/>
          <w:proofErr w:type="gramEnd"/>
          <w:r w:rsidR="00015EE6" w:rsidRPr="00015EE6">
            <w:rPr>
              <w:b/>
              <w:color w:val="000000"/>
              <w:sz w:val="22"/>
              <w:szCs w:val="22"/>
              <w:lang w:val="en-US"/>
            </w:rPr>
            <w:t xml:space="preserve"> </w:t>
          </w:r>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15EE6"/>
    <w:rsid w:val="000312B8"/>
    <w:rsid w:val="00041220"/>
    <w:rsid w:val="00041604"/>
    <w:rsid w:val="000542EF"/>
    <w:rsid w:val="000570DA"/>
    <w:rsid w:val="00060DA3"/>
    <w:rsid w:val="000A4E24"/>
    <w:rsid w:val="001108EC"/>
    <w:rsid w:val="00144199"/>
    <w:rsid w:val="0015528A"/>
    <w:rsid w:val="001606C5"/>
    <w:rsid w:val="001E3B63"/>
    <w:rsid w:val="001F1119"/>
    <w:rsid w:val="00211DA2"/>
    <w:rsid w:val="00245247"/>
    <w:rsid w:val="002A5376"/>
    <w:rsid w:val="002D5819"/>
    <w:rsid w:val="002D7111"/>
    <w:rsid w:val="002E6676"/>
    <w:rsid w:val="003077E5"/>
    <w:rsid w:val="00356EFA"/>
    <w:rsid w:val="003D509D"/>
    <w:rsid w:val="003E254D"/>
    <w:rsid w:val="003E5F40"/>
    <w:rsid w:val="00414E7B"/>
    <w:rsid w:val="00427884"/>
    <w:rsid w:val="00434810"/>
    <w:rsid w:val="004422F8"/>
    <w:rsid w:val="0044579A"/>
    <w:rsid w:val="00461597"/>
    <w:rsid w:val="004619D4"/>
    <w:rsid w:val="00466BFA"/>
    <w:rsid w:val="004C4A76"/>
    <w:rsid w:val="004E31FE"/>
    <w:rsid w:val="004F632A"/>
    <w:rsid w:val="005256E7"/>
    <w:rsid w:val="005322D3"/>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55A15"/>
    <w:rsid w:val="00780506"/>
    <w:rsid w:val="007A0FD6"/>
    <w:rsid w:val="007E2BA2"/>
    <w:rsid w:val="008649A7"/>
    <w:rsid w:val="008867C5"/>
    <w:rsid w:val="00895767"/>
    <w:rsid w:val="008C5679"/>
    <w:rsid w:val="00934D67"/>
    <w:rsid w:val="00965F31"/>
    <w:rsid w:val="009873C1"/>
    <w:rsid w:val="009908AA"/>
    <w:rsid w:val="009A06C6"/>
    <w:rsid w:val="009A1371"/>
    <w:rsid w:val="009B5C13"/>
    <w:rsid w:val="009E140D"/>
    <w:rsid w:val="009F7B06"/>
    <w:rsid w:val="00AB6041"/>
    <w:rsid w:val="00AD70F5"/>
    <w:rsid w:val="00B32038"/>
    <w:rsid w:val="00B60E9E"/>
    <w:rsid w:val="00B7038B"/>
    <w:rsid w:val="00B74FD2"/>
    <w:rsid w:val="00BA55B9"/>
    <w:rsid w:val="00BD3C25"/>
    <w:rsid w:val="00C02AFF"/>
    <w:rsid w:val="00C45492"/>
    <w:rsid w:val="00C7398A"/>
    <w:rsid w:val="00C7624D"/>
    <w:rsid w:val="00CC27BE"/>
    <w:rsid w:val="00CC727A"/>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libor.tuma@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687</TotalTime>
  <Pages>14</Pages>
  <Words>4739</Words>
  <Characters>27965</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69</cp:revision>
  <cp:lastPrinted>2018-07-10T07:25:00Z</cp:lastPrinted>
  <dcterms:created xsi:type="dcterms:W3CDTF">2017-08-11T10:18:00Z</dcterms:created>
  <dcterms:modified xsi:type="dcterms:W3CDTF">2024-05-09T11:09:00Z</dcterms:modified>
</cp:coreProperties>
</file>