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E27D" w14:textId="7B0D928F" w:rsidR="00E12619" w:rsidRPr="007B1C93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7B1C93">
        <w:rPr>
          <w:rFonts w:ascii="Garamond" w:eastAsia="Thoth-Unicode" w:hAnsi="Garamond" w:cs="Thoth-Unicode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58F8A" wp14:editId="69A07115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5702300" cy="6350"/>
                <wp:effectExtent l="0" t="0" r="31750" b="31750"/>
                <wp:wrapNone/>
                <wp:docPr id="2002140215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F41101" id="Přímá spojnice 1" o:spid="_x0000_s1026" style="position:absolute;flip:y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35pt" to="449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1149A5" w:rsidRPr="007B1C93">
        <w:rPr>
          <w:rFonts w:ascii="Garamond" w:eastAsia="Thoth-Unicode" w:hAnsi="Garamond" w:cs="Thoth-Unicode"/>
          <w:b/>
          <w:bCs/>
          <w:noProof/>
          <w:kern w:val="0"/>
          <w:sz w:val="32"/>
          <w:szCs w:val="28"/>
        </w:rPr>
        <w:t>LICENČNÍ SMLOUVA</w:t>
      </w:r>
    </w:p>
    <w:p w14:paraId="71568676" w14:textId="62D9CD31" w:rsidR="006B52D5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kern w:val="0"/>
          <w:sz w:val="24"/>
          <w:szCs w:val="24"/>
        </w:rPr>
      </w:pPr>
      <w:r w:rsidRPr="007B1C93">
        <w:rPr>
          <w:rFonts w:ascii="Garamond" w:eastAsia="Thoth-Unicode" w:hAnsi="Garamond" w:cs="Thoth-Unicode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DB38D" wp14:editId="41AFB01F">
                <wp:simplePos x="0" y="0"/>
                <wp:positionH relativeFrom="column">
                  <wp:posOffset>-4445</wp:posOffset>
                </wp:positionH>
                <wp:positionV relativeFrom="paragraph">
                  <wp:posOffset>328295</wp:posOffset>
                </wp:positionV>
                <wp:extent cx="5702300" cy="6350"/>
                <wp:effectExtent l="0" t="0" r="31750" b="31750"/>
                <wp:wrapNone/>
                <wp:docPr id="46073478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96C8CD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25.85pt" to="448.6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Pr="007B1C93">
        <w:rPr>
          <w:rFonts w:ascii="Garamond" w:eastAsia="Thoth-Unicode" w:hAnsi="Garamond" w:cs="Thoth-Unicode"/>
          <w:kern w:val="0"/>
          <w:sz w:val="24"/>
          <w:szCs w:val="24"/>
        </w:rPr>
        <w:t xml:space="preserve">uzavřená podle § </w:t>
      </w:r>
      <w:r w:rsidR="001149A5" w:rsidRPr="007B1C93">
        <w:rPr>
          <w:rFonts w:ascii="Garamond" w:eastAsia="Thoth-Unicode" w:hAnsi="Garamond" w:cs="Thoth-Unicode"/>
          <w:kern w:val="0"/>
          <w:sz w:val="24"/>
          <w:szCs w:val="24"/>
        </w:rPr>
        <w:t>2358</w:t>
      </w:r>
      <w:r w:rsidR="00B36969" w:rsidRPr="007B1C93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B1C93">
        <w:rPr>
          <w:rFonts w:ascii="Garamond" w:eastAsia="Thoth-Unicode" w:hAnsi="Garamond" w:cs="Thoth-Unicode"/>
          <w:kern w:val="0"/>
          <w:sz w:val="24"/>
          <w:szCs w:val="24"/>
        </w:rPr>
        <w:t xml:space="preserve">a násl. občanského zákoníku, </w:t>
      </w:r>
      <w:r w:rsidRPr="007B1C93">
        <w:rPr>
          <w:rFonts w:ascii="Garamond" w:eastAsia="Thoth-Unicode" w:hAnsi="Garamond" w:cs="Thoth-Unicode"/>
          <w:kern w:val="0"/>
          <w:sz w:val="24"/>
          <w:szCs w:val="24"/>
        </w:rPr>
        <w:br/>
        <w:t>mezi níže uvedenými smluvními stranami</w:t>
      </w:r>
    </w:p>
    <w:p w14:paraId="319CB0F3" w14:textId="77777777" w:rsidR="00E12619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kern w:val="0"/>
          <w:sz w:val="24"/>
          <w:szCs w:val="24"/>
        </w:rPr>
      </w:pPr>
    </w:p>
    <w:tbl>
      <w:tblPr>
        <w:tblStyle w:val="TableGrid"/>
        <w:tblW w:w="8931" w:type="dxa"/>
        <w:tblInd w:w="0" w:type="dxa"/>
        <w:tblLook w:val="04A0" w:firstRow="1" w:lastRow="0" w:firstColumn="1" w:lastColumn="0" w:noHBand="0" w:noVBand="1"/>
      </w:tblPr>
      <w:tblGrid>
        <w:gridCol w:w="4184"/>
        <w:gridCol w:w="4747"/>
      </w:tblGrid>
      <w:tr w:rsidR="00E12619" w:rsidRPr="00B512AE" w14:paraId="2343D37A" w14:textId="77777777" w:rsidTr="000D09B3">
        <w:trPr>
          <w:trHeight w:val="284"/>
        </w:trPr>
        <w:tc>
          <w:tcPr>
            <w:tcW w:w="4184" w:type="dxa"/>
            <w:vAlign w:val="bottom"/>
          </w:tcPr>
          <w:p w14:paraId="73613D3E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b/>
                <w:sz w:val="24"/>
                <w:szCs w:val="24"/>
              </w:rPr>
              <w:t xml:space="preserve">Název:  </w:t>
            </w:r>
          </w:p>
        </w:tc>
        <w:tc>
          <w:tcPr>
            <w:tcW w:w="4747" w:type="dxa"/>
            <w:vAlign w:val="bottom"/>
          </w:tcPr>
          <w:p w14:paraId="747763FD" w14:textId="77777777" w:rsidR="00E12619" w:rsidRPr="00B512AE" w:rsidRDefault="00E12619" w:rsidP="00B45B7B">
            <w:pPr>
              <w:ind w:right="-144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Nemocnice Znojmo, příspěvková organizace</w:t>
            </w:r>
          </w:p>
        </w:tc>
      </w:tr>
      <w:tr w:rsidR="00E12619" w:rsidRPr="00B512AE" w14:paraId="0B4BAE28" w14:textId="77777777" w:rsidTr="000D09B3">
        <w:trPr>
          <w:trHeight w:val="284"/>
        </w:trPr>
        <w:tc>
          <w:tcPr>
            <w:tcW w:w="4184" w:type="dxa"/>
          </w:tcPr>
          <w:p w14:paraId="7C14BED1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Sídlo:</w:t>
            </w:r>
          </w:p>
        </w:tc>
        <w:tc>
          <w:tcPr>
            <w:tcW w:w="4747" w:type="dxa"/>
          </w:tcPr>
          <w:p w14:paraId="42E94D6A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MUDr. Jana Janského 11, 669 02 Znojmo</w:t>
            </w:r>
          </w:p>
        </w:tc>
      </w:tr>
      <w:tr w:rsidR="00E12619" w:rsidRPr="00B512AE" w14:paraId="1C123AF3" w14:textId="77777777" w:rsidTr="000D09B3">
        <w:trPr>
          <w:trHeight w:val="284"/>
        </w:trPr>
        <w:tc>
          <w:tcPr>
            <w:tcW w:w="4184" w:type="dxa"/>
          </w:tcPr>
          <w:p w14:paraId="7164F56B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Zastoupena:</w:t>
            </w:r>
          </w:p>
        </w:tc>
        <w:tc>
          <w:tcPr>
            <w:tcW w:w="4747" w:type="dxa"/>
          </w:tcPr>
          <w:p w14:paraId="4927EF4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MUDr. Miroslavem Kavkou, MBA, ředitelem</w:t>
            </w:r>
          </w:p>
        </w:tc>
      </w:tr>
      <w:tr w:rsidR="00E12619" w:rsidRPr="00B512AE" w14:paraId="659E7802" w14:textId="77777777" w:rsidTr="000D09B3">
        <w:trPr>
          <w:trHeight w:val="284"/>
        </w:trPr>
        <w:tc>
          <w:tcPr>
            <w:tcW w:w="4184" w:type="dxa"/>
          </w:tcPr>
          <w:p w14:paraId="026C47CF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IČ:</w:t>
            </w:r>
          </w:p>
          <w:p w14:paraId="0F0B8746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DIČ:</w:t>
            </w:r>
          </w:p>
        </w:tc>
        <w:tc>
          <w:tcPr>
            <w:tcW w:w="4747" w:type="dxa"/>
          </w:tcPr>
          <w:p w14:paraId="48514F5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00092584</w:t>
            </w:r>
          </w:p>
          <w:p w14:paraId="725C9A75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 xml:space="preserve">CZ00092584 </w:t>
            </w:r>
          </w:p>
        </w:tc>
      </w:tr>
      <w:tr w:rsidR="00E12619" w:rsidRPr="00B512AE" w14:paraId="38DD2BBA" w14:textId="77777777" w:rsidTr="000D09B3">
        <w:trPr>
          <w:trHeight w:val="284"/>
        </w:trPr>
        <w:tc>
          <w:tcPr>
            <w:tcW w:w="4184" w:type="dxa"/>
          </w:tcPr>
          <w:p w14:paraId="0B6EC829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Bankovní spojení:</w:t>
            </w:r>
          </w:p>
        </w:tc>
        <w:tc>
          <w:tcPr>
            <w:tcW w:w="4747" w:type="dxa"/>
          </w:tcPr>
          <w:p w14:paraId="340181CC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Komerční banka a. s.</w:t>
            </w:r>
          </w:p>
        </w:tc>
      </w:tr>
      <w:tr w:rsidR="00E12619" w:rsidRPr="00B512AE" w14:paraId="51845144" w14:textId="77777777" w:rsidTr="000D09B3">
        <w:trPr>
          <w:trHeight w:val="284"/>
        </w:trPr>
        <w:tc>
          <w:tcPr>
            <w:tcW w:w="4184" w:type="dxa"/>
          </w:tcPr>
          <w:p w14:paraId="17E35664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Číslo účtu:</w:t>
            </w:r>
          </w:p>
        </w:tc>
        <w:tc>
          <w:tcPr>
            <w:tcW w:w="4747" w:type="dxa"/>
          </w:tcPr>
          <w:p w14:paraId="0775E950" w14:textId="0B00EC5A" w:rsidR="00E12619" w:rsidRPr="00C078FB" w:rsidRDefault="007B1C93" w:rsidP="00B45B7B">
            <w:pPr>
              <w:rPr>
                <w:rFonts w:ascii="Garamond" w:hAnsi="Garamond"/>
                <w:sz w:val="24"/>
                <w:szCs w:val="24"/>
                <w:highlight w:val="red"/>
              </w:rPr>
            </w:pPr>
            <w:r w:rsidRPr="007B1C93">
              <w:rPr>
                <w:rFonts w:ascii="Garamond" w:hAnsi="Garamond"/>
                <w:sz w:val="24"/>
                <w:szCs w:val="24"/>
              </w:rPr>
              <w:t>19-5055520217/0100</w:t>
            </w:r>
          </w:p>
        </w:tc>
      </w:tr>
      <w:tr w:rsidR="00E12619" w:rsidRPr="00B512AE" w14:paraId="60340AEF" w14:textId="77777777" w:rsidTr="000D09B3">
        <w:trPr>
          <w:trHeight w:val="284"/>
        </w:trPr>
        <w:tc>
          <w:tcPr>
            <w:tcW w:w="4184" w:type="dxa"/>
          </w:tcPr>
          <w:p w14:paraId="12B7A67A" w14:textId="77777777" w:rsidR="00E12619" w:rsidRPr="007B1C93" w:rsidRDefault="00E12619" w:rsidP="00B512AE">
            <w:pPr>
              <w:ind w:left="142" w:right="9"/>
              <w:jc w:val="both"/>
              <w:rPr>
                <w:rFonts w:ascii="Garamond" w:hAnsi="Garamond"/>
                <w:sz w:val="24"/>
                <w:szCs w:val="24"/>
              </w:rPr>
            </w:pPr>
            <w:r w:rsidRPr="007B1C93">
              <w:rPr>
                <w:rFonts w:ascii="Garamond" w:hAnsi="Garamond"/>
                <w:sz w:val="24"/>
                <w:szCs w:val="24"/>
              </w:rPr>
              <w:t>Osoba oprávněná k jednáním</w:t>
            </w:r>
          </w:p>
          <w:p w14:paraId="2A7A4514" w14:textId="6A9EBA41" w:rsidR="00E12619" w:rsidRPr="007B1C93" w:rsidRDefault="000D09B3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7B1C93">
              <w:rPr>
                <w:rFonts w:ascii="Garamond" w:hAnsi="Garamond"/>
                <w:sz w:val="24"/>
                <w:szCs w:val="24"/>
              </w:rPr>
              <w:t>ve věcech technických</w:t>
            </w:r>
            <w:r w:rsidR="00E12619" w:rsidRPr="007B1C93">
              <w:rPr>
                <w:rFonts w:ascii="Garamond" w:hAnsi="Garamond"/>
                <w:sz w:val="24"/>
                <w:szCs w:val="24"/>
              </w:rPr>
              <w:t>:</w:t>
            </w:r>
          </w:p>
        </w:tc>
        <w:tc>
          <w:tcPr>
            <w:tcW w:w="4747" w:type="dxa"/>
            <w:vAlign w:val="bottom"/>
          </w:tcPr>
          <w:p w14:paraId="31B0E3EF" w14:textId="524FE55D" w:rsidR="00F37ACB" w:rsidRPr="007B1C93" w:rsidRDefault="007B1C93" w:rsidP="000D09B3">
            <w:pPr>
              <w:rPr>
                <w:rFonts w:ascii="Garamond" w:hAnsi="Garamond"/>
                <w:sz w:val="24"/>
                <w:szCs w:val="24"/>
              </w:rPr>
            </w:pPr>
            <w:r w:rsidRPr="007B1C93">
              <w:rPr>
                <w:rFonts w:ascii="Garamond" w:hAnsi="Garamond"/>
                <w:sz w:val="24"/>
                <w:szCs w:val="24"/>
              </w:rPr>
              <w:t>Roman Citterberg</w:t>
            </w:r>
          </w:p>
          <w:p w14:paraId="2FB8D0EE" w14:textId="69477C72" w:rsidR="00E12619" w:rsidRPr="007B1C93" w:rsidRDefault="00F37ACB" w:rsidP="000D09B3">
            <w:pPr>
              <w:rPr>
                <w:rFonts w:ascii="Garamond" w:hAnsi="Garamond"/>
                <w:sz w:val="24"/>
                <w:szCs w:val="24"/>
              </w:rPr>
            </w:pPr>
            <w:r w:rsidRPr="007B1C93">
              <w:rPr>
                <w:rFonts w:ascii="Garamond" w:hAnsi="Garamond"/>
                <w:sz w:val="24"/>
                <w:szCs w:val="24"/>
              </w:rPr>
              <w:t xml:space="preserve">e-mail: </w:t>
            </w:r>
            <w:r w:rsidR="007B1C93" w:rsidRPr="007B1C93">
              <w:rPr>
                <w:rFonts w:ascii="Garamond" w:hAnsi="Garamond"/>
                <w:sz w:val="24"/>
                <w:szCs w:val="24"/>
              </w:rPr>
              <w:t>roman</w:t>
            </w:r>
            <w:r w:rsidRPr="007B1C93">
              <w:rPr>
                <w:rFonts w:ascii="Garamond" w:hAnsi="Garamond"/>
                <w:sz w:val="24"/>
                <w:szCs w:val="24"/>
              </w:rPr>
              <w:t>.</w:t>
            </w:r>
            <w:r w:rsidR="007B1C93" w:rsidRPr="007B1C93">
              <w:rPr>
                <w:rFonts w:ascii="Garamond" w:hAnsi="Garamond"/>
                <w:sz w:val="24"/>
                <w:szCs w:val="24"/>
              </w:rPr>
              <w:t>citterberg</w:t>
            </w:r>
            <w:r w:rsidRPr="007B1C93">
              <w:rPr>
                <w:rFonts w:ascii="Garamond" w:hAnsi="Garamond"/>
                <w:sz w:val="24"/>
                <w:szCs w:val="24"/>
              </w:rPr>
              <w:t xml:space="preserve">@nemzn.cz, </w:t>
            </w:r>
            <w:r w:rsidR="007B1C93" w:rsidRPr="007B1C93">
              <w:rPr>
                <w:rFonts w:ascii="Garamond" w:hAnsi="Garamond"/>
                <w:sz w:val="24"/>
                <w:szCs w:val="24"/>
              </w:rPr>
              <w:br/>
            </w:r>
            <w:r w:rsidRPr="007B1C93">
              <w:rPr>
                <w:rFonts w:ascii="Garamond" w:hAnsi="Garamond"/>
                <w:sz w:val="24"/>
                <w:szCs w:val="24"/>
              </w:rPr>
              <w:t>tel.: 515 215 </w:t>
            </w:r>
            <w:r w:rsidR="007B1C93" w:rsidRPr="007B1C93">
              <w:rPr>
                <w:rFonts w:ascii="Garamond" w:hAnsi="Garamond"/>
                <w:sz w:val="24"/>
                <w:szCs w:val="24"/>
              </w:rPr>
              <w:t>440</w:t>
            </w:r>
            <w:r w:rsidRPr="007B1C93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  <w:tr w:rsidR="00E12619" w:rsidRPr="00B512AE" w14:paraId="4F561ED9" w14:textId="77777777" w:rsidTr="000D09B3">
        <w:trPr>
          <w:trHeight w:val="284"/>
        </w:trPr>
        <w:tc>
          <w:tcPr>
            <w:tcW w:w="4184" w:type="dxa"/>
          </w:tcPr>
          <w:p w14:paraId="2BE2A0FC" w14:textId="77777777" w:rsidR="00E12619" w:rsidRPr="00B512AE" w:rsidRDefault="00E12619" w:rsidP="00B512AE">
            <w:pPr>
              <w:ind w:left="142" w:right="9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 xml:space="preserve">Adresa pro doručování </w:t>
            </w:r>
          </w:p>
          <w:p w14:paraId="3046C076" w14:textId="77777777" w:rsidR="00E12619" w:rsidRPr="00B512AE" w:rsidRDefault="00E12619" w:rsidP="00B512AE">
            <w:pPr>
              <w:ind w:left="142" w:right="9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korespondence:</w:t>
            </w:r>
          </w:p>
        </w:tc>
        <w:tc>
          <w:tcPr>
            <w:tcW w:w="4747" w:type="dxa"/>
          </w:tcPr>
          <w:p w14:paraId="25522B56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bookmarkStart w:id="0" w:name="_Hlk166669486"/>
            <w:r w:rsidRPr="00B512AE">
              <w:rPr>
                <w:rFonts w:ascii="Garamond" w:hAnsi="Garamond"/>
                <w:sz w:val="24"/>
                <w:szCs w:val="24"/>
              </w:rPr>
              <w:t>MUDr. Jana Janského 11</w:t>
            </w:r>
            <w:bookmarkEnd w:id="0"/>
          </w:p>
          <w:p w14:paraId="5C554C1F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669 02 Znojmo</w:t>
            </w:r>
          </w:p>
        </w:tc>
      </w:tr>
      <w:tr w:rsidR="007F26F2" w:rsidRPr="00B512AE" w14:paraId="5505D319" w14:textId="77777777" w:rsidTr="000D09B3">
        <w:trPr>
          <w:trHeight w:val="284"/>
        </w:trPr>
        <w:tc>
          <w:tcPr>
            <w:tcW w:w="8931" w:type="dxa"/>
            <w:gridSpan w:val="2"/>
            <w:vAlign w:val="center"/>
          </w:tcPr>
          <w:p w14:paraId="145D294B" w14:textId="1CA45C0A" w:rsidR="007F26F2" w:rsidRPr="00B512AE" w:rsidRDefault="007F26F2" w:rsidP="007F26F2">
            <w:pPr>
              <w:spacing w:before="200" w:after="120" w:line="120" w:lineRule="auto"/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(dále jen „</w:t>
            </w:r>
            <w:r w:rsidR="001149A5">
              <w:rPr>
                <w:rFonts w:ascii="Garamond" w:hAnsi="Garamond"/>
                <w:sz w:val="24"/>
                <w:szCs w:val="24"/>
              </w:rPr>
              <w:t>nabyvatel</w:t>
            </w:r>
            <w:r w:rsidRPr="00B512AE">
              <w:rPr>
                <w:rFonts w:ascii="Garamond" w:hAnsi="Garamond"/>
                <w:sz w:val="24"/>
                <w:szCs w:val="24"/>
              </w:rPr>
              <w:t>“)</w:t>
            </w:r>
          </w:p>
        </w:tc>
      </w:tr>
      <w:tr w:rsidR="007F26F2" w:rsidRPr="00B512AE" w14:paraId="648EEBC9" w14:textId="77777777" w:rsidTr="000D09B3">
        <w:trPr>
          <w:trHeight w:val="284"/>
        </w:trPr>
        <w:tc>
          <w:tcPr>
            <w:tcW w:w="8931" w:type="dxa"/>
            <w:gridSpan w:val="2"/>
            <w:vAlign w:val="center"/>
          </w:tcPr>
          <w:p w14:paraId="7733D5A3" w14:textId="77777777" w:rsidR="007F26F2" w:rsidRDefault="007F26F2" w:rsidP="007F26F2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a</w:t>
            </w:r>
          </w:p>
          <w:p w14:paraId="13A2B88E" w14:textId="7740C86C" w:rsidR="007F26F2" w:rsidRPr="00B512AE" w:rsidRDefault="007F26F2" w:rsidP="007F26F2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E12619" w:rsidRPr="00B512AE" w14:paraId="6E4EF91D" w14:textId="77777777" w:rsidTr="000D09B3">
        <w:trPr>
          <w:trHeight w:val="284"/>
        </w:trPr>
        <w:tc>
          <w:tcPr>
            <w:tcW w:w="4184" w:type="dxa"/>
          </w:tcPr>
          <w:p w14:paraId="5B805067" w14:textId="77777777" w:rsidR="00E12619" w:rsidRPr="00B512AE" w:rsidRDefault="00E12619" w:rsidP="00B512AE">
            <w:pPr>
              <w:spacing w:after="16" w:line="249" w:lineRule="auto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b/>
                <w:sz w:val="24"/>
                <w:szCs w:val="24"/>
                <w:highlight w:val="yellow"/>
              </w:rPr>
              <w:t>Název</w:t>
            </w:r>
          </w:p>
        </w:tc>
        <w:tc>
          <w:tcPr>
            <w:tcW w:w="4747" w:type="dxa"/>
          </w:tcPr>
          <w:p w14:paraId="649975F4" w14:textId="77777777" w:rsidR="00E12619" w:rsidRPr="00B512AE" w:rsidRDefault="00E12619" w:rsidP="00B45B7B">
            <w:pPr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bookmarkStart w:id="1" w:name="_Hlk162258537"/>
            <w:r w:rsidRPr="00B512AE">
              <w:rPr>
                <w:rFonts w:ascii="Garamond" w:hAnsi="Garamond"/>
                <w:b/>
                <w:sz w:val="24"/>
                <w:szCs w:val="24"/>
                <w:highlight w:val="yellow"/>
              </w:rPr>
              <w:t>………………………………….</w:t>
            </w:r>
            <w:bookmarkEnd w:id="1"/>
          </w:p>
        </w:tc>
      </w:tr>
      <w:tr w:rsidR="00E12619" w:rsidRPr="00B512AE" w14:paraId="5851F1E8" w14:textId="77777777" w:rsidTr="000D09B3">
        <w:trPr>
          <w:trHeight w:val="284"/>
        </w:trPr>
        <w:tc>
          <w:tcPr>
            <w:tcW w:w="4184" w:type="dxa"/>
          </w:tcPr>
          <w:p w14:paraId="66B7C7D1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bookmarkStart w:id="2" w:name="_Hlk162258551"/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747" w:type="dxa"/>
          </w:tcPr>
          <w:p w14:paraId="3379878D" w14:textId="77777777" w:rsidR="00E12619" w:rsidRPr="00B512AE" w:rsidRDefault="00E12619" w:rsidP="00B45B7B">
            <w:pPr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……………………………………..</w:t>
            </w:r>
          </w:p>
        </w:tc>
      </w:tr>
      <w:bookmarkEnd w:id="2"/>
      <w:tr w:rsidR="00E12619" w:rsidRPr="00B512AE" w14:paraId="6C83935E" w14:textId="77777777" w:rsidTr="000D09B3">
        <w:trPr>
          <w:trHeight w:val="284"/>
        </w:trPr>
        <w:tc>
          <w:tcPr>
            <w:tcW w:w="4184" w:type="dxa"/>
          </w:tcPr>
          <w:p w14:paraId="5ABA2846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Zastoupena:</w:t>
            </w:r>
          </w:p>
        </w:tc>
        <w:tc>
          <w:tcPr>
            <w:tcW w:w="4747" w:type="dxa"/>
          </w:tcPr>
          <w:p w14:paraId="32A7DAD9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……………………………….</w:t>
            </w:r>
          </w:p>
        </w:tc>
      </w:tr>
      <w:tr w:rsidR="00E12619" w:rsidRPr="00B512AE" w14:paraId="024A7601" w14:textId="77777777" w:rsidTr="000D09B3">
        <w:trPr>
          <w:trHeight w:val="284"/>
        </w:trPr>
        <w:tc>
          <w:tcPr>
            <w:tcW w:w="4184" w:type="dxa"/>
          </w:tcPr>
          <w:p w14:paraId="0EB96381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747" w:type="dxa"/>
          </w:tcPr>
          <w:p w14:paraId="792B0422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bookmarkStart w:id="3" w:name="_Hlk162258572"/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</w:t>
            </w:r>
            <w:bookmarkEnd w:id="3"/>
          </w:p>
        </w:tc>
      </w:tr>
      <w:tr w:rsidR="00E12619" w:rsidRPr="00B512AE" w14:paraId="1C4D8834" w14:textId="77777777" w:rsidTr="000D09B3">
        <w:trPr>
          <w:trHeight w:val="284"/>
        </w:trPr>
        <w:tc>
          <w:tcPr>
            <w:tcW w:w="4184" w:type="dxa"/>
          </w:tcPr>
          <w:p w14:paraId="7D9DBC55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747" w:type="dxa"/>
          </w:tcPr>
          <w:p w14:paraId="274EFD06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…………………………………..</w:t>
            </w:r>
          </w:p>
        </w:tc>
      </w:tr>
      <w:tr w:rsidR="00E12619" w:rsidRPr="00B512AE" w14:paraId="764B37E2" w14:textId="77777777" w:rsidTr="000D09B3">
        <w:trPr>
          <w:trHeight w:val="284"/>
        </w:trPr>
        <w:tc>
          <w:tcPr>
            <w:tcW w:w="4184" w:type="dxa"/>
          </w:tcPr>
          <w:p w14:paraId="656EEF22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Bankovní spojení:</w:t>
            </w:r>
          </w:p>
        </w:tc>
        <w:tc>
          <w:tcPr>
            <w:tcW w:w="4747" w:type="dxa"/>
          </w:tcPr>
          <w:p w14:paraId="6BD8C6B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</w:t>
            </w:r>
          </w:p>
        </w:tc>
      </w:tr>
      <w:tr w:rsidR="00E12619" w:rsidRPr="00B512AE" w14:paraId="7B04C3CA" w14:textId="77777777" w:rsidTr="000D09B3">
        <w:trPr>
          <w:trHeight w:val="284"/>
        </w:trPr>
        <w:tc>
          <w:tcPr>
            <w:tcW w:w="4184" w:type="dxa"/>
          </w:tcPr>
          <w:p w14:paraId="3EABD34F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Číslo účtu:</w:t>
            </w:r>
          </w:p>
          <w:p w14:paraId="60D6616D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Osoba oprávněná k jednáním</w:t>
            </w:r>
          </w:p>
        </w:tc>
        <w:tc>
          <w:tcPr>
            <w:tcW w:w="4747" w:type="dxa"/>
          </w:tcPr>
          <w:p w14:paraId="1B6489BC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…………………………..</w:t>
            </w:r>
          </w:p>
        </w:tc>
      </w:tr>
      <w:tr w:rsidR="00E12619" w:rsidRPr="00B512AE" w14:paraId="4A9AD76A" w14:textId="77777777" w:rsidTr="000D09B3">
        <w:trPr>
          <w:trHeight w:val="284"/>
        </w:trPr>
        <w:tc>
          <w:tcPr>
            <w:tcW w:w="4184" w:type="dxa"/>
          </w:tcPr>
          <w:p w14:paraId="00D81C11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ve věcech technických:</w:t>
            </w:r>
          </w:p>
        </w:tc>
        <w:tc>
          <w:tcPr>
            <w:tcW w:w="4747" w:type="dxa"/>
          </w:tcPr>
          <w:p w14:paraId="7DB95911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</w:t>
            </w:r>
          </w:p>
        </w:tc>
      </w:tr>
      <w:tr w:rsidR="00E12619" w:rsidRPr="00B512AE" w14:paraId="586CB10A" w14:textId="77777777" w:rsidTr="000D09B3">
        <w:trPr>
          <w:trHeight w:val="284"/>
        </w:trPr>
        <w:tc>
          <w:tcPr>
            <w:tcW w:w="4184" w:type="dxa"/>
          </w:tcPr>
          <w:p w14:paraId="3146D4A7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Telefonické a e-mailové spojení:</w:t>
            </w:r>
          </w:p>
        </w:tc>
        <w:tc>
          <w:tcPr>
            <w:tcW w:w="4747" w:type="dxa"/>
          </w:tcPr>
          <w:p w14:paraId="0558C7AA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……………………….</w:t>
            </w:r>
          </w:p>
          <w:p w14:paraId="39F072B1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…………………………….</w:t>
            </w:r>
          </w:p>
        </w:tc>
      </w:tr>
      <w:tr w:rsidR="00E12619" w:rsidRPr="00B512AE" w14:paraId="573C9204" w14:textId="77777777" w:rsidTr="000D09B3">
        <w:trPr>
          <w:trHeight w:val="284"/>
        </w:trPr>
        <w:tc>
          <w:tcPr>
            <w:tcW w:w="4184" w:type="dxa"/>
          </w:tcPr>
          <w:p w14:paraId="5CD0A413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Adresa pro doručování</w:t>
            </w:r>
          </w:p>
          <w:p w14:paraId="4B3345C4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korespondence:</w:t>
            </w:r>
          </w:p>
        </w:tc>
        <w:tc>
          <w:tcPr>
            <w:tcW w:w="4747" w:type="dxa"/>
          </w:tcPr>
          <w:p w14:paraId="09085A61" w14:textId="77777777" w:rsidR="00E12619" w:rsidRPr="00B512AE" w:rsidRDefault="00E12619" w:rsidP="00B45B7B">
            <w:pPr>
              <w:tabs>
                <w:tab w:val="center" w:pos="2467"/>
                <w:tab w:val="center" w:pos="6018"/>
              </w:tabs>
              <w:spacing w:after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………………………………………….</w:t>
            </w:r>
          </w:p>
          <w:p w14:paraId="207FFD7A" w14:textId="77777777" w:rsidR="00E12619" w:rsidRPr="00B512AE" w:rsidRDefault="00E12619" w:rsidP="00B45B7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………………………………………..</w:t>
            </w:r>
          </w:p>
          <w:p w14:paraId="692BFAAC" w14:textId="1A44E5FF" w:rsidR="00E12619" w:rsidRPr="00B512AE" w:rsidRDefault="00E12619" w:rsidP="00B45B7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(</w:t>
            </w:r>
            <w:r w:rsidRPr="00B512AE">
              <w:rPr>
                <w:rFonts w:ascii="Garamond" w:hAnsi="Garamond"/>
                <w:i/>
                <w:sz w:val="24"/>
                <w:szCs w:val="24"/>
                <w:highlight w:val="yellow"/>
              </w:rPr>
              <w:t xml:space="preserve">vyplní </w:t>
            </w:r>
            <w:r w:rsidR="002C1D98">
              <w:rPr>
                <w:rFonts w:ascii="Garamond" w:hAnsi="Garamond"/>
                <w:i/>
                <w:sz w:val="24"/>
                <w:szCs w:val="24"/>
                <w:highlight w:val="yellow"/>
              </w:rPr>
              <w:t>poskytovatel</w:t>
            </w:r>
            <w:r w:rsidRPr="00B512AE">
              <w:rPr>
                <w:rFonts w:ascii="Garamond" w:hAnsi="Garamond"/>
                <w:i/>
                <w:sz w:val="24"/>
                <w:szCs w:val="24"/>
                <w:highlight w:val="yellow"/>
              </w:rPr>
              <w:t>)</w:t>
            </w:r>
          </w:p>
        </w:tc>
      </w:tr>
      <w:tr w:rsidR="00E12619" w:rsidRPr="00B512AE" w14:paraId="552DD4FE" w14:textId="77777777" w:rsidTr="000D09B3">
        <w:trPr>
          <w:trHeight w:val="284"/>
        </w:trPr>
        <w:tc>
          <w:tcPr>
            <w:tcW w:w="4184" w:type="dxa"/>
            <w:vAlign w:val="center"/>
          </w:tcPr>
          <w:p w14:paraId="49BA951E" w14:textId="6620FC81" w:rsidR="00E12619" w:rsidRPr="00B512AE" w:rsidRDefault="00E12619" w:rsidP="007F26F2">
            <w:pPr>
              <w:spacing w:before="200" w:after="200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(dále jen „</w:t>
            </w:r>
            <w:r w:rsidR="001149A5">
              <w:rPr>
                <w:rFonts w:ascii="Garamond" w:hAnsi="Garamond"/>
                <w:sz w:val="24"/>
                <w:szCs w:val="24"/>
              </w:rPr>
              <w:t>poskytovatel</w:t>
            </w:r>
            <w:r w:rsidRPr="00B512AE">
              <w:rPr>
                <w:rFonts w:ascii="Garamond" w:hAnsi="Garamond"/>
                <w:sz w:val="24"/>
                <w:szCs w:val="24"/>
              </w:rPr>
              <w:t>“)</w:t>
            </w:r>
          </w:p>
        </w:tc>
        <w:tc>
          <w:tcPr>
            <w:tcW w:w="4747" w:type="dxa"/>
            <w:vAlign w:val="center"/>
          </w:tcPr>
          <w:p w14:paraId="15F78ECC" w14:textId="77777777" w:rsidR="00E12619" w:rsidRPr="00B512AE" w:rsidRDefault="00E12619" w:rsidP="00B45B7B">
            <w:pPr>
              <w:tabs>
                <w:tab w:val="center" w:pos="2467"/>
                <w:tab w:val="center" w:pos="6018"/>
              </w:tabs>
              <w:spacing w:after="9"/>
              <w:ind w:left="113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53FBD7C" w14:textId="77777777" w:rsidR="00ED36C3" w:rsidRDefault="00ED36C3" w:rsidP="00ED36C3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</w:p>
    <w:p w14:paraId="47E29475" w14:textId="4D9AEF53" w:rsidR="00ED36C3" w:rsidRPr="00C078FB" w:rsidRDefault="00070403" w:rsidP="00ED36C3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8"/>
          <w:szCs w:val="26"/>
        </w:rPr>
      </w:pPr>
      <w:r w:rsidRPr="00C078FB">
        <w:rPr>
          <w:rFonts w:ascii="Garamond" w:hAnsi="Garamond" w:cstheme="minorHAnsi"/>
          <w:sz w:val="24"/>
          <w:szCs w:val="24"/>
        </w:rPr>
        <w:t xml:space="preserve">tímto uzavírají tuto kupní smlouvu v souladu s ustanovením § </w:t>
      </w:r>
      <w:r w:rsidR="007B1C93">
        <w:rPr>
          <w:rFonts w:ascii="Garamond" w:hAnsi="Garamond" w:cstheme="minorHAnsi"/>
          <w:sz w:val="24"/>
          <w:szCs w:val="24"/>
        </w:rPr>
        <w:t>2358</w:t>
      </w:r>
      <w:r w:rsidRPr="00C078FB">
        <w:rPr>
          <w:rFonts w:ascii="Garamond" w:hAnsi="Garamond" w:cstheme="minorHAnsi"/>
          <w:sz w:val="24"/>
          <w:szCs w:val="24"/>
        </w:rPr>
        <w:t xml:space="preserve"> a násl. zákona č. 89/2012 Sb., občanský zákoník, v platném a účinném znění (dále jen „</w:t>
      </w:r>
      <w:r w:rsidRPr="00C078FB">
        <w:rPr>
          <w:rFonts w:ascii="Garamond" w:hAnsi="Garamond" w:cstheme="minorHAnsi"/>
          <w:b/>
          <w:sz w:val="24"/>
          <w:szCs w:val="24"/>
        </w:rPr>
        <w:t>občanský zákoník</w:t>
      </w:r>
      <w:r w:rsidRPr="00C078FB">
        <w:rPr>
          <w:rFonts w:ascii="Garamond" w:hAnsi="Garamond" w:cstheme="minorHAnsi"/>
          <w:sz w:val="24"/>
          <w:szCs w:val="24"/>
        </w:rPr>
        <w:t>“), jako výsledek výběrového řízení k</w:t>
      </w:r>
      <w:r w:rsidR="00F37ACB" w:rsidRPr="00C078FB">
        <w:rPr>
          <w:rFonts w:ascii="Garamond" w:hAnsi="Garamond" w:cstheme="minorHAnsi"/>
          <w:sz w:val="24"/>
          <w:szCs w:val="24"/>
        </w:rPr>
        <w:t> veřejné zakázce malého rozsahu</w:t>
      </w:r>
      <w:r w:rsidRPr="00C078FB">
        <w:rPr>
          <w:rFonts w:ascii="Garamond" w:hAnsi="Garamond" w:cstheme="minorHAnsi"/>
          <w:sz w:val="24"/>
          <w:szCs w:val="24"/>
        </w:rPr>
        <w:t xml:space="preserve"> nazvané </w:t>
      </w:r>
      <w:r w:rsidRPr="00C078FB">
        <w:rPr>
          <w:rFonts w:ascii="Garamond" w:hAnsi="Garamond" w:cstheme="minorHAnsi"/>
          <w:b/>
          <w:sz w:val="24"/>
          <w:szCs w:val="24"/>
        </w:rPr>
        <w:t>„</w:t>
      </w:r>
      <w:r w:rsidR="007B1C93" w:rsidRPr="007B1C93">
        <w:rPr>
          <w:rFonts w:ascii="Garamond" w:hAnsi="Garamond" w:cstheme="minorHAnsi"/>
          <w:b/>
          <w:sz w:val="24"/>
          <w:szCs w:val="24"/>
        </w:rPr>
        <w:t>Software pro řízení dokumentace a správnou laboratorní praxi</w:t>
      </w:r>
      <w:r w:rsidRPr="00C078FB">
        <w:rPr>
          <w:rFonts w:ascii="Garamond" w:hAnsi="Garamond" w:cstheme="minorHAnsi"/>
          <w:b/>
          <w:i/>
          <w:sz w:val="24"/>
          <w:szCs w:val="24"/>
        </w:rPr>
        <w:t>“</w:t>
      </w:r>
      <w:r w:rsidRPr="00C078FB">
        <w:rPr>
          <w:rFonts w:ascii="Garamond" w:hAnsi="Garamond" w:cstheme="minorHAnsi"/>
          <w:sz w:val="24"/>
          <w:szCs w:val="24"/>
        </w:rPr>
        <w:t xml:space="preserve"> (dále jen „</w:t>
      </w:r>
      <w:r w:rsidRPr="00C078FB">
        <w:rPr>
          <w:rFonts w:ascii="Garamond" w:hAnsi="Garamond" w:cstheme="minorHAnsi"/>
          <w:b/>
          <w:sz w:val="24"/>
          <w:szCs w:val="24"/>
        </w:rPr>
        <w:t>veřejná</w:t>
      </w:r>
      <w:r w:rsidRPr="00C078FB">
        <w:rPr>
          <w:rFonts w:ascii="Garamond" w:hAnsi="Garamond" w:cstheme="minorHAnsi"/>
          <w:sz w:val="24"/>
          <w:szCs w:val="24"/>
        </w:rPr>
        <w:t xml:space="preserve"> </w:t>
      </w:r>
      <w:r w:rsidRPr="00C078FB">
        <w:rPr>
          <w:rFonts w:ascii="Garamond" w:hAnsi="Garamond" w:cstheme="minorHAnsi"/>
          <w:b/>
          <w:sz w:val="24"/>
          <w:szCs w:val="24"/>
        </w:rPr>
        <w:t>zakázka</w:t>
      </w:r>
      <w:r w:rsidRPr="00C078FB">
        <w:rPr>
          <w:rFonts w:ascii="Garamond" w:hAnsi="Garamond" w:cstheme="minorHAnsi"/>
          <w:sz w:val="24"/>
          <w:szCs w:val="24"/>
        </w:rPr>
        <w:t>“)</w:t>
      </w:r>
    </w:p>
    <w:p w14:paraId="036E5AAC" w14:textId="7954DE56" w:rsidR="00B36969" w:rsidRPr="00B36969" w:rsidRDefault="00B36969" w:rsidP="00ED36C3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B3696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1.</w:t>
      </w:r>
    </w:p>
    <w:p w14:paraId="3B991C60" w14:textId="792A7DC7" w:rsidR="00B36969" w:rsidRPr="00B36969" w:rsidRDefault="009D0C70" w:rsidP="00B36969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Poskytovatel</w:t>
      </w:r>
      <w:r w:rsidR="00070403" w:rsidRPr="00070403">
        <w:rPr>
          <w:rFonts w:ascii="Garamond" w:eastAsia="Thoth-Unicode" w:hAnsi="Garamond" w:cs="Thoth-Unicode"/>
          <w:kern w:val="0"/>
          <w:sz w:val="24"/>
          <w:szCs w:val="24"/>
        </w:rPr>
        <w:t xml:space="preserve"> je oprávněn </w:t>
      </w:r>
      <w:r w:rsidR="00C078FB">
        <w:rPr>
          <w:rFonts w:ascii="Garamond" w:eastAsia="Thoth-Unicode" w:hAnsi="Garamond" w:cs="Thoth-Unicode"/>
          <w:kern w:val="0"/>
          <w:sz w:val="24"/>
          <w:szCs w:val="24"/>
        </w:rPr>
        <w:t xml:space="preserve">nakládat s licencí </w:t>
      </w:r>
      <w:r w:rsidR="00312D75">
        <w:rPr>
          <w:rFonts w:ascii="Garamond" w:eastAsia="Thoth-Unicode" w:hAnsi="Garamond" w:cs="Thoth-Unicode"/>
          <w:kern w:val="0"/>
          <w:sz w:val="24"/>
          <w:szCs w:val="24"/>
        </w:rPr>
        <w:t xml:space="preserve">užívat </w:t>
      </w:r>
      <w:r w:rsidR="00C078FB">
        <w:rPr>
          <w:rFonts w:ascii="Garamond" w:eastAsia="Thoth-Unicode" w:hAnsi="Garamond" w:cs="Thoth-Unicode"/>
          <w:kern w:val="0"/>
          <w:sz w:val="24"/>
          <w:szCs w:val="24"/>
        </w:rPr>
        <w:t>autorské díl</w:t>
      </w:r>
      <w:r w:rsidR="00312D75">
        <w:rPr>
          <w:rFonts w:ascii="Garamond" w:eastAsia="Thoth-Unicode" w:hAnsi="Garamond" w:cs="Thoth-Unicode"/>
          <w:kern w:val="0"/>
          <w:sz w:val="24"/>
          <w:szCs w:val="24"/>
        </w:rPr>
        <w:t>o</w:t>
      </w:r>
      <w:r w:rsidR="00C078FB">
        <w:rPr>
          <w:rFonts w:ascii="Garamond" w:eastAsia="Thoth-Unicode" w:hAnsi="Garamond" w:cs="Thoth-Unicode"/>
          <w:kern w:val="0"/>
          <w:sz w:val="24"/>
          <w:szCs w:val="24"/>
        </w:rPr>
        <w:t xml:space="preserve"> ve formě počítačového programu (software) s obchodním názvem </w:t>
      </w:r>
      <w:r w:rsidR="00C078FB" w:rsidRPr="001149A5">
        <w:rPr>
          <w:rFonts w:ascii="Garamond" w:eastAsia="Thoth-Unicode" w:hAnsi="Garamond" w:cs="Thoth-Unicode"/>
          <w:i/>
          <w:iCs/>
          <w:kern w:val="0"/>
          <w:sz w:val="24"/>
          <w:szCs w:val="24"/>
          <w:highlight w:val="yellow"/>
        </w:rPr>
        <w:t xml:space="preserve">………… (vyplní </w:t>
      </w:r>
      <w:r>
        <w:rPr>
          <w:rFonts w:ascii="Garamond" w:eastAsia="Thoth-Unicode" w:hAnsi="Garamond" w:cs="Thoth-Unicode"/>
          <w:i/>
          <w:iCs/>
          <w:kern w:val="0"/>
          <w:sz w:val="24"/>
          <w:szCs w:val="24"/>
          <w:highlight w:val="yellow"/>
        </w:rPr>
        <w:t>poskytovatel</w:t>
      </w:r>
      <w:r w:rsidR="00C078FB" w:rsidRPr="001149A5">
        <w:rPr>
          <w:rFonts w:ascii="Garamond" w:eastAsia="Thoth-Unicode" w:hAnsi="Garamond" w:cs="Thoth-Unicode"/>
          <w:i/>
          <w:iCs/>
          <w:kern w:val="0"/>
          <w:sz w:val="24"/>
          <w:szCs w:val="24"/>
          <w:highlight w:val="yellow"/>
        </w:rPr>
        <w:t>)</w:t>
      </w:r>
      <w:r w:rsidR="00C078FB">
        <w:rPr>
          <w:rFonts w:ascii="Garamond" w:eastAsia="Thoth-Unicode" w:hAnsi="Garamond" w:cs="Thoth-Unicode"/>
          <w:kern w:val="0"/>
          <w:sz w:val="24"/>
          <w:szCs w:val="24"/>
        </w:rPr>
        <w:t xml:space="preserve">, jehož specifikace </w:t>
      </w:r>
      <w:r w:rsidR="00312D75">
        <w:rPr>
          <w:rFonts w:ascii="Garamond" w:eastAsia="Thoth-Unicode" w:hAnsi="Garamond" w:cs="Thoth-Unicode"/>
          <w:kern w:val="0"/>
          <w:sz w:val="24"/>
          <w:szCs w:val="24"/>
        </w:rPr>
        <w:t xml:space="preserve">tvoří </w:t>
      </w:r>
      <w:r w:rsidR="00312D75" w:rsidRPr="007B1C93">
        <w:rPr>
          <w:rFonts w:ascii="Garamond" w:eastAsia="Thoth-Unicode" w:hAnsi="Garamond" w:cs="Thoth-Unicode"/>
          <w:kern w:val="0"/>
          <w:sz w:val="24"/>
          <w:szCs w:val="24"/>
        </w:rPr>
        <w:t>přílohu č. 1 této smlouvy,</w:t>
      </w:r>
      <w:r w:rsidR="00C078FB" w:rsidRPr="007B1C93">
        <w:rPr>
          <w:rFonts w:ascii="Garamond" w:eastAsia="Thoth-Unicode" w:hAnsi="Garamond" w:cs="Thoth-Unicode"/>
          <w:kern w:val="0"/>
          <w:sz w:val="24"/>
          <w:szCs w:val="24"/>
        </w:rPr>
        <w:t xml:space="preserve"> a to včetně technické podpory tohoto programu</w:t>
      </w:r>
      <w:r w:rsidR="00ED36C3" w:rsidRPr="007B1C93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37E0A5C4" w14:textId="77777777" w:rsidR="00B36969" w:rsidRDefault="00B36969" w:rsidP="00B36969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B3696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2.</w:t>
      </w:r>
    </w:p>
    <w:p w14:paraId="5FA1E949" w14:textId="6F46E2FA" w:rsidR="0046526F" w:rsidRPr="0046526F" w:rsidRDefault="009D0C70" w:rsidP="0046526F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Poskytovatel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touto smlouvou poskytuje nabyvateli nevýhradní a </w:t>
      </w:r>
      <w:r w:rsidR="0046526F" w:rsidRPr="00AC2414">
        <w:rPr>
          <w:rFonts w:ascii="Garamond" w:eastAsia="Thoth-Unicode" w:hAnsi="Garamond" w:cs="Thoth-Unicode"/>
          <w:kern w:val="0"/>
          <w:sz w:val="24"/>
          <w:szCs w:val="24"/>
        </w:rPr>
        <w:t xml:space="preserve">časově </w:t>
      </w:r>
      <w:r w:rsidRPr="00AC2414">
        <w:rPr>
          <w:rFonts w:ascii="Garamond" w:eastAsia="Thoth-Unicode" w:hAnsi="Garamond" w:cs="Thoth-Unicode"/>
          <w:kern w:val="0"/>
          <w:sz w:val="24"/>
          <w:szCs w:val="24"/>
        </w:rPr>
        <w:t>ne</w:t>
      </w:r>
      <w:r w:rsidR="0046526F" w:rsidRPr="00AC2414">
        <w:rPr>
          <w:rFonts w:ascii="Garamond" w:eastAsia="Thoth-Unicode" w:hAnsi="Garamond" w:cs="Thoth-Unicode"/>
          <w:kern w:val="0"/>
          <w:sz w:val="24"/>
          <w:szCs w:val="24"/>
        </w:rPr>
        <w:t xml:space="preserve">omezenou licenci k autorskému dílu podle čl. 1 této smlouvy. Za účelem splnění tohoto svého závazku se </w:t>
      </w:r>
      <w:r w:rsidRPr="00AC2414">
        <w:rPr>
          <w:rFonts w:ascii="Garamond" w:eastAsia="Thoth-Unicode" w:hAnsi="Garamond" w:cs="Thoth-Unicode"/>
          <w:kern w:val="0"/>
          <w:sz w:val="24"/>
          <w:szCs w:val="24"/>
        </w:rPr>
        <w:t>poskytovatel</w:t>
      </w:r>
    </w:p>
    <w:p w14:paraId="0CBFEA0D" w14:textId="2DB716F1" w:rsidR="0046526F" w:rsidRPr="0046526F" w:rsidRDefault="0046526F" w:rsidP="0046526F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  <w:r w:rsidRPr="0046526F">
        <w:rPr>
          <w:rFonts w:ascii="Garamond" w:eastAsia="Thoth-Unicode" w:hAnsi="Garamond" w:cs="Thoth-Unicode"/>
          <w:kern w:val="0"/>
          <w:sz w:val="24"/>
          <w:szCs w:val="24"/>
        </w:rPr>
        <w:lastRenderedPageBreak/>
        <w:t xml:space="preserve">zavazuje umožnit </w:t>
      </w:r>
      <w:r w:rsidR="009D0C70">
        <w:rPr>
          <w:rFonts w:ascii="Garamond" w:eastAsia="Thoth-Unicode" w:hAnsi="Garamond" w:cs="Thoth-Unicode"/>
          <w:kern w:val="0"/>
          <w:sz w:val="24"/>
          <w:szCs w:val="24"/>
        </w:rPr>
        <w:t>nabyvateli</w:t>
      </w:r>
      <w:r w:rsidRP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9D0C70">
        <w:rPr>
          <w:rFonts w:ascii="Garamond" w:eastAsia="Thoth-Unicode" w:hAnsi="Garamond" w:cs="Thoth-Unicode"/>
          <w:kern w:val="0"/>
          <w:sz w:val="24"/>
          <w:szCs w:val="24"/>
        </w:rPr>
        <w:t xml:space="preserve">přístup </w:t>
      </w:r>
      <w:r w:rsidRPr="0046526F">
        <w:rPr>
          <w:rFonts w:ascii="Garamond" w:eastAsia="Thoth-Unicode" w:hAnsi="Garamond" w:cs="Thoth-Unicode"/>
          <w:kern w:val="0"/>
          <w:sz w:val="24"/>
          <w:szCs w:val="24"/>
        </w:rPr>
        <w:t>k tomuto autorskému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46526F">
        <w:rPr>
          <w:rFonts w:ascii="Garamond" w:eastAsia="Thoth-Unicode" w:hAnsi="Garamond" w:cs="Thoth-Unicode"/>
          <w:kern w:val="0"/>
          <w:sz w:val="24"/>
          <w:szCs w:val="24"/>
        </w:rPr>
        <w:t>dílu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v rámci jeho vnitřní počítačové sítě</w:t>
      </w:r>
      <w:r w:rsidRPr="0046526F">
        <w:rPr>
          <w:rFonts w:ascii="Garamond" w:eastAsia="Thoth-Unicode" w:hAnsi="Garamond" w:cs="Thoth-Unicode"/>
          <w:kern w:val="0"/>
          <w:sz w:val="24"/>
          <w:szCs w:val="24"/>
        </w:rPr>
        <w:t>, včetně jeho průběžných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46526F">
        <w:rPr>
          <w:rFonts w:ascii="Garamond" w:eastAsia="Thoth-Unicode" w:hAnsi="Garamond" w:cs="Thoth-Unicode"/>
          <w:kern w:val="0"/>
          <w:sz w:val="24"/>
          <w:szCs w:val="24"/>
        </w:rPr>
        <w:t>aktualizací</w:t>
      </w:r>
      <w:r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6589B20A" w14:textId="1DDCCC6F" w:rsidR="0046526F" w:rsidRDefault="0046526F" w:rsidP="00B36969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3.</w:t>
      </w:r>
    </w:p>
    <w:p w14:paraId="4530CFA8" w14:textId="27A34F00" w:rsidR="0046526F" w:rsidRDefault="00AC2414" w:rsidP="0046526F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Součást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závazku poskytovatele</w:t>
      </w:r>
      <w:r w:rsidR="00EA241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k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poskytnutí licence k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autorskému dílu podle čl. 1 je instalace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>, i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mplementace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a kon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>f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igurace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tohoto počítačového programu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do vnitřní sítě </w:t>
      </w:r>
      <w:r w:rsidR="009D0C70">
        <w:rPr>
          <w:rFonts w:ascii="Garamond" w:eastAsia="Thoth-Unicode" w:hAnsi="Garamond" w:cs="Thoth-Unicode"/>
          <w:kern w:val="0"/>
          <w:sz w:val="24"/>
          <w:szCs w:val="24"/>
        </w:rPr>
        <w:t xml:space="preserve">nabyvatele,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a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dále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jeho uvedení do provozu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a zaškolení jeho obsluhy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,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a to v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místě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plnění</w:t>
      </w:r>
      <w:r w:rsidR="00EA241D">
        <w:rPr>
          <w:rFonts w:ascii="Garamond" w:eastAsia="Thoth-Unicode" w:hAnsi="Garamond" w:cs="Thoth-Unicode"/>
          <w:kern w:val="0"/>
          <w:sz w:val="24"/>
          <w:szCs w:val="24"/>
        </w:rPr>
        <w:t>,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kterým se rozum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sídlo nabyvatele dle záhlaví této smlouvy. Součástí tohoto závazku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9D0C70">
        <w:rPr>
          <w:rFonts w:ascii="Garamond" w:eastAsia="Thoth-Unicode" w:hAnsi="Garamond" w:cs="Thoth-Unicode"/>
          <w:kern w:val="0"/>
          <w:sz w:val="24"/>
          <w:szCs w:val="24"/>
        </w:rPr>
        <w:t>poskytovatele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je také dodání technické dokumentace implementace příslušného 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>počítačového programu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a dokladů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prokazujících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shodu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,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to vše v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českém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jazyce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 xml:space="preserve">a v tištěné 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i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elektronické</w:t>
      </w:r>
      <w:r w:rsidR="0046526F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6526F" w:rsidRPr="0046526F">
        <w:rPr>
          <w:rFonts w:ascii="Garamond" w:eastAsia="Thoth-Unicode" w:hAnsi="Garamond" w:cs="Thoth-Unicode"/>
          <w:kern w:val="0"/>
          <w:sz w:val="24"/>
          <w:szCs w:val="24"/>
        </w:rPr>
        <w:t>podobě.</w:t>
      </w:r>
    </w:p>
    <w:p w14:paraId="0DB72A11" w14:textId="4548862A" w:rsidR="00B44B2B" w:rsidRDefault="00AC2414" w:rsidP="0046526F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="00B44B2B">
        <w:rPr>
          <w:rFonts w:ascii="Garamond" w:eastAsia="Thoth-Unicode" w:hAnsi="Garamond" w:cs="Thoth-Unicode"/>
          <w:kern w:val="0"/>
          <w:sz w:val="24"/>
          <w:szCs w:val="24"/>
        </w:rPr>
        <w:t xml:space="preserve">Instalaci a konfiguraci počítačového programu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a jeho začlenění do vnitřní sítě nabyvatele </w:t>
      </w:r>
      <w:r w:rsidR="00B44B2B">
        <w:rPr>
          <w:rFonts w:ascii="Garamond" w:eastAsia="Thoth-Unicode" w:hAnsi="Garamond" w:cs="Thoth-Unicode"/>
          <w:kern w:val="0"/>
          <w:sz w:val="24"/>
          <w:szCs w:val="24"/>
        </w:rPr>
        <w:t>provede poskytovatel v součinnosti s nabyvatelem. Poskytovatel je přitom povinen dodržovat p</w:t>
      </w:r>
      <w:r w:rsidR="00B44B2B" w:rsidRPr="00B44B2B">
        <w:rPr>
          <w:rFonts w:ascii="Garamond" w:eastAsia="Thoth-Unicode" w:hAnsi="Garamond" w:cs="Thoth-Unicode"/>
          <w:kern w:val="0"/>
          <w:sz w:val="24"/>
          <w:szCs w:val="24"/>
        </w:rPr>
        <w:t>ravid</w:t>
      </w:r>
      <w:r w:rsidR="00B44B2B">
        <w:rPr>
          <w:rFonts w:ascii="Garamond" w:eastAsia="Thoth-Unicode" w:hAnsi="Garamond" w:cs="Thoth-Unicode"/>
          <w:kern w:val="0"/>
          <w:sz w:val="24"/>
          <w:szCs w:val="24"/>
        </w:rPr>
        <w:t>la</w:t>
      </w:r>
      <w:r w:rsidR="00B44B2B" w:rsidRPr="00B44B2B">
        <w:rPr>
          <w:rFonts w:ascii="Garamond" w:eastAsia="Thoth-Unicode" w:hAnsi="Garamond" w:cs="Thoth-Unicode"/>
          <w:kern w:val="0"/>
          <w:sz w:val="24"/>
          <w:szCs w:val="24"/>
        </w:rPr>
        <w:t xml:space="preserve"> pro připojení nových technologií, vzdálenou správu atd</w:t>
      </w:r>
      <w:r w:rsidR="00EA241D">
        <w:rPr>
          <w:rFonts w:ascii="Garamond" w:eastAsia="Thoth-Unicode" w:hAnsi="Garamond" w:cs="Thoth-Unicode"/>
          <w:kern w:val="0"/>
          <w:sz w:val="24"/>
          <w:szCs w:val="24"/>
        </w:rPr>
        <w:t>.</w:t>
      </w:r>
      <w:r w:rsidR="00B44B2B">
        <w:rPr>
          <w:rFonts w:ascii="Garamond" w:eastAsia="Thoth-Unicode" w:hAnsi="Garamond" w:cs="Thoth-Unicode"/>
          <w:kern w:val="0"/>
          <w:sz w:val="24"/>
          <w:szCs w:val="24"/>
        </w:rPr>
        <w:t xml:space="preserve"> stanovená nabyvatelem, jež tvoří přílohu č. 2 k této smlouvě</w:t>
      </w:r>
      <w:r w:rsidR="00B44B2B" w:rsidRPr="00B44B2B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6A13712A" w14:textId="2942C56E" w:rsidR="0046526F" w:rsidRDefault="0046526F" w:rsidP="00B36969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4.</w:t>
      </w:r>
    </w:p>
    <w:p w14:paraId="4518F996" w14:textId="0866D930" w:rsidR="00AC2414" w:rsidRPr="00AC2414" w:rsidRDefault="00AC2414" w:rsidP="0046526F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AC2414"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46526F" w:rsidRPr="00AC2414">
        <w:rPr>
          <w:rFonts w:ascii="Garamond" w:eastAsia="Thoth-Unicode" w:hAnsi="Garamond" w:cs="Thoth-Unicode"/>
          <w:kern w:val="0"/>
          <w:sz w:val="24"/>
          <w:szCs w:val="24"/>
        </w:rPr>
        <w:t>Poskytovatel se dále zavazuje zajistit nabyvateli technickou podporu autorského díla podle čl. 1 této smlouvy</w:t>
      </w:r>
      <w:r w:rsidRPr="00AC2414">
        <w:rPr>
          <w:rFonts w:ascii="Garamond" w:eastAsia="Thoth-Unicode" w:hAnsi="Garamond" w:cs="Thoth-Unicode"/>
          <w:kern w:val="0"/>
          <w:sz w:val="24"/>
          <w:szCs w:val="24"/>
        </w:rPr>
        <w:t xml:space="preserve"> spočívající v poskytování aktualizací počítačového programu dle čl. 1 této smlouvy a odstraňování závad tohoto programu.</w:t>
      </w:r>
    </w:p>
    <w:p w14:paraId="7A29E555" w14:textId="677B833E" w:rsidR="0046526F" w:rsidRDefault="00AC2414" w:rsidP="0046526F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AC2414">
        <w:rPr>
          <w:rFonts w:ascii="Garamond" w:eastAsia="Thoth-Unicode" w:hAnsi="Garamond" w:cs="Thoth-Unicode"/>
          <w:kern w:val="0"/>
          <w:sz w:val="24"/>
          <w:szCs w:val="24"/>
        </w:rPr>
        <w:t xml:space="preserve">(2) Technickou podporu dle odst. 1 se poskytovatel zavazuje poskytovat bezplatně </w:t>
      </w:r>
      <w:r w:rsidR="0046526F" w:rsidRPr="00AC2414">
        <w:rPr>
          <w:rFonts w:ascii="Garamond" w:eastAsia="Thoth-Unicode" w:hAnsi="Garamond" w:cs="Thoth-Unicode"/>
          <w:kern w:val="0"/>
          <w:sz w:val="24"/>
          <w:szCs w:val="24"/>
        </w:rPr>
        <w:t xml:space="preserve">po dobu 4 let ode dne splnění závazku </w:t>
      </w:r>
      <w:r w:rsidR="002C1D98" w:rsidRPr="00AC2414">
        <w:rPr>
          <w:rFonts w:ascii="Garamond" w:eastAsia="Thoth-Unicode" w:hAnsi="Garamond" w:cs="Thoth-Unicode"/>
          <w:kern w:val="0"/>
          <w:sz w:val="24"/>
          <w:szCs w:val="24"/>
        </w:rPr>
        <w:t>poskytovatele</w:t>
      </w:r>
      <w:r w:rsidR="0046526F" w:rsidRPr="00AC2414">
        <w:rPr>
          <w:rFonts w:ascii="Garamond" w:eastAsia="Thoth-Unicode" w:hAnsi="Garamond" w:cs="Thoth-Unicode"/>
          <w:kern w:val="0"/>
          <w:sz w:val="24"/>
          <w:szCs w:val="24"/>
        </w:rPr>
        <w:t xml:space="preserve"> k poskytnutí licence způsobem dle čl. 5 této smlouvy</w:t>
      </w:r>
      <w:r w:rsidR="001149A5" w:rsidRPr="00AC2414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09D39AA4" w14:textId="530D22CC" w:rsidR="001149A5" w:rsidRPr="0046526F" w:rsidRDefault="001149A5" w:rsidP="0046526F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3E6F9582" w14:textId="7FA551E8" w:rsidR="0046526F" w:rsidRDefault="00296B41" w:rsidP="00B36969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5.</w:t>
      </w:r>
    </w:p>
    <w:p w14:paraId="47E60B50" w14:textId="2DA58B95" w:rsidR="00296B41" w:rsidRPr="00296B41" w:rsidRDefault="00296B41" w:rsidP="00296B41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296B41">
        <w:rPr>
          <w:rFonts w:ascii="Garamond" w:eastAsia="Thoth-Unicode" w:hAnsi="Garamond" w:cs="Thoth-Unicode"/>
          <w:kern w:val="0"/>
          <w:sz w:val="24"/>
          <w:szCs w:val="24"/>
        </w:rPr>
        <w:t xml:space="preserve">Poskytovatel se zavazuje splnit svůj závazek k poskytnutí licence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a instalaci počítačového programu dle čl. 1 této smlouvy do vnitřní sítě </w:t>
      </w:r>
      <w:r w:rsidR="002C1D98">
        <w:rPr>
          <w:rFonts w:ascii="Garamond" w:eastAsia="Thoth-Unicode" w:hAnsi="Garamond" w:cs="Thoth-Unicode"/>
          <w:kern w:val="0"/>
          <w:sz w:val="24"/>
          <w:szCs w:val="24"/>
        </w:rPr>
        <w:t>nabyvatele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296B41">
        <w:rPr>
          <w:rFonts w:ascii="Garamond" w:eastAsia="Thoth-Unicode" w:hAnsi="Garamond" w:cs="Thoth-Unicode"/>
          <w:kern w:val="0"/>
          <w:sz w:val="24"/>
          <w:szCs w:val="24"/>
        </w:rPr>
        <w:t>ve lhůtě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296B41">
        <w:rPr>
          <w:rFonts w:ascii="Garamond" w:eastAsia="Thoth-Unicode" w:hAnsi="Garamond" w:cs="Thoth-Unicode"/>
          <w:kern w:val="0"/>
          <w:sz w:val="24"/>
          <w:szCs w:val="24"/>
        </w:rPr>
        <w:t>nejpozději do 30 dnů ode dne účinnosti této smlouvy. Závazek poskytovatele k poskytnutí licence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296B41">
        <w:rPr>
          <w:rFonts w:ascii="Garamond" w:eastAsia="Thoth-Unicode" w:hAnsi="Garamond" w:cs="Thoth-Unicode"/>
          <w:kern w:val="0"/>
          <w:sz w:val="24"/>
          <w:szCs w:val="24"/>
        </w:rPr>
        <w:t>podle čl. 2 této smlouvy se přitom považuje za splněný po umožnění přístupu k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296B41">
        <w:rPr>
          <w:rFonts w:ascii="Garamond" w:eastAsia="Thoth-Unicode" w:hAnsi="Garamond" w:cs="Thoth-Unicode"/>
          <w:kern w:val="0"/>
          <w:sz w:val="24"/>
          <w:szCs w:val="24"/>
        </w:rPr>
        <w:t>autorsk</w:t>
      </w:r>
      <w:r>
        <w:rPr>
          <w:rFonts w:ascii="Garamond" w:eastAsia="Thoth-Unicode" w:hAnsi="Garamond" w:cs="Thoth-Unicode"/>
          <w:kern w:val="0"/>
          <w:sz w:val="24"/>
          <w:szCs w:val="24"/>
        </w:rPr>
        <w:t>é</w:t>
      </w:r>
      <w:r w:rsidRPr="00296B41">
        <w:rPr>
          <w:rFonts w:ascii="Garamond" w:eastAsia="Thoth-Unicode" w:hAnsi="Garamond" w:cs="Thoth-Unicode"/>
          <w:kern w:val="0"/>
          <w:sz w:val="24"/>
          <w:szCs w:val="24"/>
        </w:rPr>
        <w:t>mu dílu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296B41">
        <w:rPr>
          <w:rFonts w:ascii="Garamond" w:eastAsia="Thoth-Unicode" w:hAnsi="Garamond" w:cs="Thoth-Unicode"/>
          <w:kern w:val="0"/>
          <w:sz w:val="24"/>
          <w:szCs w:val="24"/>
        </w:rPr>
        <w:t>způsobem podle čl. 2 této smlouvy a po poskytnutí plnění podle čl. 3 této smlouvy dnem předání a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296B41">
        <w:rPr>
          <w:rFonts w:ascii="Garamond" w:eastAsia="Thoth-Unicode" w:hAnsi="Garamond" w:cs="Thoth-Unicode"/>
          <w:kern w:val="0"/>
          <w:sz w:val="24"/>
          <w:szCs w:val="24"/>
        </w:rPr>
        <w:t>převzetí licence formou písemného předávacího protokolu podepsaného oběma smluvními stranami</w:t>
      </w:r>
      <w:r w:rsidR="00EA241D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277528B6" w14:textId="32BB852D" w:rsidR="00296B41" w:rsidRDefault="00296B41" w:rsidP="00B36969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6.</w:t>
      </w:r>
    </w:p>
    <w:p w14:paraId="757F98D7" w14:textId="1AAB26E6" w:rsidR="00296B41" w:rsidRPr="001B13B0" w:rsidRDefault="00EA241D" w:rsidP="00296B41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Nabyvatel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se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zavazuje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zaplatit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poskytovateli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za poskytnutí licence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1B13B0">
        <w:rPr>
          <w:rFonts w:ascii="Garamond" w:eastAsia="Thoth-Unicode" w:hAnsi="Garamond" w:cs="Thoth-Unicode"/>
          <w:kern w:val="0"/>
          <w:sz w:val="24"/>
          <w:szCs w:val="24"/>
        </w:rPr>
        <w:t xml:space="preserve">k autorskému dílu dle čl. 2. a 3. této smlouvy a poskytování technické podpory autorského díla dle čl. 4.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této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smlouvy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odměnu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v</w:t>
      </w:r>
      <w:r w:rsidR="001B13B0">
        <w:rPr>
          <w:rFonts w:ascii="Garamond" w:eastAsia="Thoth-Unicode" w:hAnsi="Garamond" w:cs="Thoth-Unicode"/>
          <w:kern w:val="0"/>
          <w:sz w:val="24"/>
          <w:szCs w:val="24"/>
        </w:rPr>
        <w:t xml:space="preserve"> celkové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výši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1149A5">
        <w:rPr>
          <w:rFonts w:ascii="Garamond" w:eastAsia="Thoth-Unicode" w:hAnsi="Garamond" w:cs="Thoth-Unicode"/>
          <w:kern w:val="0"/>
          <w:sz w:val="24"/>
          <w:szCs w:val="24"/>
          <w:highlight w:val="yellow"/>
        </w:rPr>
        <w:t>…………</w:t>
      </w:r>
      <w:proofErr w:type="gramStart"/>
      <w:r w:rsidR="00296B41" w:rsidRPr="001149A5">
        <w:rPr>
          <w:rFonts w:ascii="Garamond" w:eastAsia="Thoth-Unicode" w:hAnsi="Garamond" w:cs="Thoth-Unicode"/>
          <w:kern w:val="0"/>
          <w:sz w:val="24"/>
          <w:szCs w:val="24"/>
          <w:highlight w:val="yellow"/>
        </w:rPr>
        <w:t>…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,-</w:t>
      </w:r>
      <w:proofErr w:type="gramEnd"/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Kč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bez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DPH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,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tj</w:t>
      </w:r>
      <w:r w:rsidR="00296B41" w:rsidRPr="001149A5">
        <w:rPr>
          <w:rFonts w:ascii="Garamond" w:eastAsia="Thoth-Unicode" w:hAnsi="Garamond" w:cs="Thoth-Unicode"/>
          <w:kern w:val="0"/>
          <w:sz w:val="24"/>
          <w:szCs w:val="24"/>
          <w:highlight w:val="yellow"/>
        </w:rPr>
        <w:t>……………….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,-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Kč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včetně</w:t>
      </w:r>
      <w:r w:rsidR="00296B41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296B41" w:rsidRPr="00296B41">
        <w:rPr>
          <w:rFonts w:ascii="Garamond" w:eastAsia="Thoth-Unicode" w:hAnsi="Garamond" w:cs="Thoth-Unicode"/>
          <w:kern w:val="0"/>
          <w:sz w:val="24"/>
          <w:szCs w:val="24"/>
        </w:rPr>
        <w:t>DPH</w:t>
      </w:r>
      <w:r w:rsidR="001B13B0">
        <w:rPr>
          <w:rFonts w:ascii="Garamond" w:eastAsia="Thoth-Unicode" w:hAnsi="Garamond" w:cs="Thoth-Unicode"/>
          <w:i/>
          <w:iCs/>
          <w:kern w:val="0"/>
          <w:sz w:val="24"/>
          <w:szCs w:val="24"/>
        </w:rPr>
        <w:t xml:space="preserve">, </w:t>
      </w:r>
      <w:r w:rsidR="001B13B0" w:rsidRPr="001B13B0">
        <w:rPr>
          <w:rFonts w:ascii="Garamond" w:eastAsia="Thoth-Unicode" w:hAnsi="Garamond" w:cs="Thoth-Unicode"/>
          <w:kern w:val="0"/>
          <w:sz w:val="24"/>
          <w:szCs w:val="24"/>
        </w:rPr>
        <w:t>přičemž</w:t>
      </w:r>
      <w:r w:rsidR="001B13B0">
        <w:rPr>
          <w:rFonts w:ascii="Garamond" w:eastAsia="Thoth-Unicode" w:hAnsi="Garamond" w:cs="Thoth-Unicode"/>
          <w:i/>
          <w:iCs/>
          <w:kern w:val="0"/>
          <w:sz w:val="24"/>
          <w:szCs w:val="24"/>
        </w:rPr>
        <w:t xml:space="preserve"> </w:t>
      </w:r>
      <w:r w:rsidR="001B13B0">
        <w:rPr>
          <w:rFonts w:ascii="Garamond" w:eastAsia="Thoth-Unicode" w:hAnsi="Garamond" w:cs="Thoth-Unicode"/>
          <w:kern w:val="0"/>
          <w:sz w:val="24"/>
          <w:szCs w:val="24"/>
        </w:rPr>
        <w:t xml:space="preserve">odměna za poskytnutí licence činí </w:t>
      </w:r>
      <w:r w:rsidR="001B13B0" w:rsidRPr="004D1554">
        <w:rPr>
          <w:rFonts w:ascii="Garamond" w:eastAsia="Thoth-Unicode" w:hAnsi="Garamond" w:cs="Thoth-Unicode"/>
          <w:kern w:val="0"/>
          <w:sz w:val="24"/>
          <w:szCs w:val="24"/>
          <w:highlight w:val="yellow"/>
        </w:rPr>
        <w:t>………..</w:t>
      </w:r>
      <w:r w:rsidR="004D1554">
        <w:rPr>
          <w:rFonts w:ascii="Garamond" w:eastAsia="Thoth-Unicode" w:hAnsi="Garamond" w:cs="Thoth-Unicode"/>
          <w:kern w:val="0"/>
          <w:sz w:val="24"/>
          <w:szCs w:val="24"/>
        </w:rPr>
        <w:t>,-</w:t>
      </w:r>
      <w:r w:rsidR="001B13B0">
        <w:rPr>
          <w:rFonts w:ascii="Garamond" w:eastAsia="Thoth-Unicode" w:hAnsi="Garamond" w:cs="Thoth-Unicode"/>
          <w:kern w:val="0"/>
          <w:sz w:val="24"/>
          <w:szCs w:val="24"/>
        </w:rPr>
        <w:t xml:space="preserve"> Kč bez DPH a odměna za poskytnutí technické podpory činí </w:t>
      </w:r>
      <w:r w:rsidR="001B13B0" w:rsidRPr="004D1554">
        <w:rPr>
          <w:rFonts w:ascii="Garamond" w:eastAsia="Thoth-Unicode" w:hAnsi="Garamond" w:cs="Thoth-Unicode"/>
          <w:kern w:val="0"/>
          <w:sz w:val="24"/>
          <w:szCs w:val="24"/>
          <w:highlight w:val="yellow"/>
        </w:rPr>
        <w:t>……….</w:t>
      </w:r>
      <w:r w:rsidR="004D1554">
        <w:rPr>
          <w:rFonts w:ascii="Garamond" w:eastAsia="Thoth-Unicode" w:hAnsi="Garamond" w:cs="Thoth-Unicode"/>
          <w:kern w:val="0"/>
          <w:sz w:val="24"/>
          <w:szCs w:val="24"/>
        </w:rPr>
        <w:t>,-</w:t>
      </w:r>
      <w:r w:rsidR="001B13B0">
        <w:rPr>
          <w:rFonts w:ascii="Garamond" w:eastAsia="Thoth-Unicode" w:hAnsi="Garamond" w:cs="Thoth-Unicode"/>
          <w:kern w:val="0"/>
          <w:sz w:val="24"/>
          <w:szCs w:val="24"/>
        </w:rPr>
        <w:t xml:space="preserve"> Kč bez DPH</w:t>
      </w:r>
      <w:r w:rsidR="004D1554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4D1554" w:rsidRPr="001149A5">
        <w:rPr>
          <w:rFonts w:ascii="Garamond" w:eastAsia="Thoth-Unicode" w:hAnsi="Garamond" w:cs="Thoth-Unicode"/>
          <w:i/>
          <w:iCs/>
          <w:kern w:val="0"/>
          <w:sz w:val="24"/>
          <w:szCs w:val="24"/>
          <w:highlight w:val="yellow"/>
        </w:rPr>
        <w:t>(vyplní poskytovatel)</w:t>
      </w:r>
      <w:r w:rsidR="001B13B0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5F23B2D0" w14:textId="167AA967" w:rsidR="00296B41" w:rsidRPr="00B36969" w:rsidRDefault="00296B41" w:rsidP="00296B41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>Součást</w:t>
      </w:r>
      <w:r w:rsidR="009D0C70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9D0C70">
        <w:rPr>
          <w:rFonts w:ascii="Garamond" w:eastAsia="Thoth-Unicode" w:hAnsi="Garamond" w:cs="Thoth-Unicode"/>
          <w:kern w:val="0"/>
          <w:sz w:val="24"/>
          <w:szCs w:val="24"/>
        </w:rPr>
        <w:t>odměny dle odst. 1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jsou veškeré náklady </w:t>
      </w:r>
      <w:r w:rsidR="009D0C70">
        <w:rPr>
          <w:rFonts w:ascii="Garamond" w:eastAsia="Thoth-Unicode" w:hAnsi="Garamond" w:cs="Thoth-Unicode"/>
          <w:kern w:val="0"/>
          <w:sz w:val="24"/>
          <w:szCs w:val="24"/>
        </w:rPr>
        <w:t>poskytovatele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na splněn</w:t>
      </w:r>
      <w:r w:rsidR="009D0C70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jeho závazku k dodán</w:t>
      </w:r>
      <w:r w:rsidR="001B13B0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zboží podle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>této smlouvy. Změna ceny je možná pouze v případě zákonné změny sazby DPH.</w:t>
      </w:r>
    </w:p>
    <w:p w14:paraId="59DB47AA" w14:textId="41EC6252" w:rsidR="00EC4EA3" w:rsidRPr="00EC4EA3" w:rsidRDefault="00EC4EA3" w:rsidP="00EC4EA3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7.</w:t>
      </w:r>
    </w:p>
    <w:p w14:paraId="783A33DD" w14:textId="4DD030A6" w:rsidR="004D1554" w:rsidRPr="004D1554" w:rsidRDefault="00EC4EA3" w:rsidP="00EC4EA3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(1) Odměna </w:t>
      </w:r>
      <w:r w:rsidR="004D1554"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za poskytnutí licence k autorskému dílu </w:t>
      </w:r>
      <w:r w:rsidRPr="004D1554">
        <w:rPr>
          <w:rFonts w:ascii="Garamond" w:eastAsia="Thoth-Unicode" w:hAnsi="Garamond" w:cs="Thoth-Unicode"/>
          <w:kern w:val="0"/>
          <w:sz w:val="24"/>
          <w:szCs w:val="24"/>
        </w:rPr>
        <w:t>podle čl. 6</w:t>
      </w:r>
      <w:r w:rsidR="004D1554" w:rsidRPr="004D1554">
        <w:rPr>
          <w:rFonts w:ascii="Garamond" w:eastAsia="Thoth-Unicode" w:hAnsi="Garamond" w:cs="Thoth-Unicode"/>
          <w:kern w:val="0"/>
          <w:sz w:val="24"/>
          <w:szCs w:val="24"/>
        </w:rPr>
        <w:t>.</w:t>
      </w:r>
      <w:r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 této smlouvy je splatná na účet </w:t>
      </w:r>
      <w:r w:rsidR="002C1D98" w:rsidRPr="004D1554">
        <w:rPr>
          <w:rFonts w:ascii="Garamond" w:eastAsia="Thoth-Unicode" w:hAnsi="Garamond" w:cs="Thoth-Unicode"/>
          <w:kern w:val="0"/>
          <w:sz w:val="24"/>
          <w:szCs w:val="24"/>
        </w:rPr>
        <w:t>poskytovatele</w:t>
      </w:r>
      <w:r w:rsidR="004D1554"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 po splnění závazku poskytovatele k dodání zboží podle čl. 1 této smlouvy na základě jejího písemného vyúčtování (faktury/daňového dokladu) ve lhůtě do </w:t>
      </w:r>
      <w:r w:rsidR="00603BFD">
        <w:rPr>
          <w:rFonts w:ascii="Garamond" w:eastAsia="Thoth-Unicode" w:hAnsi="Garamond" w:cs="Thoth-Unicode"/>
          <w:kern w:val="0"/>
          <w:sz w:val="24"/>
          <w:szCs w:val="24"/>
        </w:rPr>
        <w:t>6</w:t>
      </w:r>
      <w:r w:rsidR="004D1554" w:rsidRPr="004D1554">
        <w:rPr>
          <w:rFonts w:ascii="Garamond" w:eastAsia="Thoth-Unicode" w:hAnsi="Garamond" w:cs="Thoth-Unicode"/>
          <w:kern w:val="0"/>
          <w:sz w:val="24"/>
          <w:szCs w:val="24"/>
        </w:rPr>
        <w:t>0 dnů od jejího doručení, nejdříve však dnem účinnosti této smlouvy dle čl. 16. této smlouvy</w:t>
      </w:r>
      <w:r w:rsidR="00603BFD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2484C965" w14:textId="10A02E7D" w:rsidR="00EC4EA3" w:rsidRDefault="007B1C93" w:rsidP="00EC4EA3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4D1554">
        <w:rPr>
          <w:rFonts w:ascii="Garamond" w:eastAsia="Thoth-Unicode" w:hAnsi="Garamond" w:cs="Thoth-Unicode"/>
          <w:kern w:val="0"/>
          <w:sz w:val="24"/>
          <w:szCs w:val="24"/>
        </w:rPr>
        <w:t>(</w:t>
      </w:r>
      <w:r w:rsidR="004D1554" w:rsidRPr="004D1554">
        <w:rPr>
          <w:rFonts w:ascii="Garamond" w:eastAsia="Thoth-Unicode" w:hAnsi="Garamond" w:cs="Thoth-Unicode"/>
          <w:kern w:val="0"/>
          <w:sz w:val="24"/>
          <w:szCs w:val="24"/>
        </w:rPr>
        <w:t>2</w:t>
      </w:r>
      <w:r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) </w:t>
      </w:r>
      <w:r w:rsidR="004D1554" w:rsidRPr="004D1554">
        <w:rPr>
          <w:rFonts w:ascii="Garamond" w:eastAsia="Thoth-Unicode" w:hAnsi="Garamond" w:cs="Thoth-Unicode"/>
          <w:kern w:val="0"/>
          <w:sz w:val="24"/>
          <w:szCs w:val="24"/>
        </w:rPr>
        <w:t>Odměna za poskytování technické podpory autorského díla podle čl. 6. této smlouvy je splatná ve čtyřech ročních splátkách odpovídajících vždy výši jedné čtvrtiny této odměny, přičemž p</w:t>
      </w:r>
      <w:r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rvní </w:t>
      </w:r>
      <w:r w:rsidRPr="004D1554">
        <w:rPr>
          <w:rFonts w:ascii="Garamond" w:eastAsia="Thoth-Unicode" w:hAnsi="Garamond" w:cs="Thoth-Unicode"/>
          <w:kern w:val="0"/>
          <w:sz w:val="24"/>
          <w:szCs w:val="24"/>
        </w:rPr>
        <w:lastRenderedPageBreak/>
        <w:t xml:space="preserve">část </w:t>
      </w:r>
      <w:r w:rsidR="004D1554"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této </w:t>
      </w:r>
      <w:r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odměny je splatná </w:t>
      </w:r>
      <w:r w:rsidR="00EC4EA3" w:rsidRPr="004D1554">
        <w:rPr>
          <w:rFonts w:ascii="Garamond" w:eastAsia="Thoth-Unicode" w:hAnsi="Garamond" w:cs="Thoth-Unicode"/>
          <w:kern w:val="0"/>
          <w:sz w:val="24"/>
          <w:szCs w:val="24"/>
        </w:rPr>
        <w:t>po splněn</w:t>
      </w:r>
      <w:r w:rsidR="009D0C70" w:rsidRPr="004D1554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EC4EA3"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 závazku </w:t>
      </w:r>
      <w:r w:rsidR="002C1D98" w:rsidRPr="004D1554">
        <w:rPr>
          <w:rFonts w:ascii="Garamond" w:eastAsia="Thoth-Unicode" w:hAnsi="Garamond" w:cs="Thoth-Unicode"/>
          <w:kern w:val="0"/>
          <w:sz w:val="24"/>
          <w:szCs w:val="24"/>
        </w:rPr>
        <w:t>poskytovatele</w:t>
      </w:r>
      <w:r w:rsidR="00EC4EA3"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 k dodán</w:t>
      </w:r>
      <w:r w:rsidR="009D0C70" w:rsidRPr="004D1554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EC4EA3"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 zboží podle čl. 1 této smlouvy na základě jejího písemného vyúčtován</w:t>
      </w:r>
      <w:r w:rsidR="009D0C70" w:rsidRPr="004D1554"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="00EC4EA3"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 (faktury/daňového dokladu) ve lhůtě do </w:t>
      </w:r>
      <w:r w:rsidR="00603BFD">
        <w:rPr>
          <w:rFonts w:ascii="Garamond" w:eastAsia="Thoth-Unicode" w:hAnsi="Garamond" w:cs="Thoth-Unicode"/>
          <w:kern w:val="0"/>
          <w:sz w:val="24"/>
          <w:szCs w:val="24"/>
        </w:rPr>
        <w:t>6</w:t>
      </w:r>
      <w:r w:rsidR="00EC4EA3"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0 dnů od jejího doručení, nejdříve však dnem účinnosti této smlouvy dle čl. 16 této smlouvy. </w:t>
      </w:r>
      <w:r w:rsidRPr="004D1554">
        <w:rPr>
          <w:rFonts w:ascii="Garamond" w:eastAsia="Thoth-Unicode" w:hAnsi="Garamond" w:cs="Thoth-Unicode"/>
          <w:kern w:val="0"/>
          <w:sz w:val="24"/>
          <w:szCs w:val="24"/>
        </w:rPr>
        <w:t xml:space="preserve">Ostatní části odměny jsou splatné vždy v pravidelných ročních intervalech na základě faktury vyhotovené poskytovatelem, a to ve lhůtě do </w:t>
      </w:r>
      <w:r w:rsidR="00603BFD">
        <w:rPr>
          <w:rFonts w:ascii="Garamond" w:eastAsia="Thoth-Unicode" w:hAnsi="Garamond" w:cs="Thoth-Unicode"/>
          <w:kern w:val="0"/>
          <w:sz w:val="24"/>
          <w:szCs w:val="24"/>
        </w:rPr>
        <w:t>6</w:t>
      </w:r>
      <w:r w:rsidRPr="004D1554">
        <w:rPr>
          <w:rFonts w:ascii="Garamond" w:eastAsia="Thoth-Unicode" w:hAnsi="Garamond" w:cs="Thoth-Unicode"/>
          <w:kern w:val="0"/>
          <w:sz w:val="24"/>
          <w:szCs w:val="24"/>
        </w:rPr>
        <w:t>0 dnů od jejího doručení, nejdříve však vždy dnem odpovídajícím dni účinnosti této smlouvy v příslušném kalendářním roce.</w:t>
      </w:r>
    </w:p>
    <w:p w14:paraId="152EE6DC" w14:textId="248BF506" w:rsidR="00EC4EA3" w:rsidRPr="00597CB2" w:rsidRDefault="00EC4EA3" w:rsidP="00EC4EA3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</w:t>
      </w:r>
      <w:r w:rsidR="004D1554">
        <w:rPr>
          <w:rFonts w:ascii="Garamond" w:eastAsia="Thoth-Unicode" w:hAnsi="Garamond" w:cs="Thoth-Unicode"/>
          <w:kern w:val="0"/>
          <w:sz w:val="24"/>
          <w:szCs w:val="24"/>
        </w:rPr>
        <w:t>3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) 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>Faktur</w:t>
      </w:r>
      <w:r w:rsidR="00603BFD">
        <w:rPr>
          <w:rFonts w:ascii="Garamond" w:eastAsia="Thoth-Unicode" w:hAnsi="Garamond" w:cs="Thoth-Unicode"/>
          <w:kern w:val="0"/>
          <w:sz w:val="24"/>
          <w:szCs w:val="24"/>
        </w:rPr>
        <w:t>y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603BFD">
        <w:rPr>
          <w:rFonts w:ascii="Garamond" w:eastAsia="Thoth-Unicode" w:hAnsi="Garamond" w:cs="Thoth-Unicode"/>
          <w:kern w:val="0"/>
          <w:sz w:val="24"/>
          <w:szCs w:val="24"/>
        </w:rPr>
        <w:t xml:space="preserve">dle odstavců 1 a 2 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>bud</w:t>
      </w:r>
      <w:r w:rsidR="00603BFD">
        <w:rPr>
          <w:rFonts w:ascii="Garamond" w:eastAsia="Thoth-Unicode" w:hAnsi="Garamond" w:cs="Thoth-Unicode"/>
          <w:kern w:val="0"/>
          <w:sz w:val="24"/>
          <w:szCs w:val="24"/>
        </w:rPr>
        <w:t>ou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doručen</w:t>
      </w:r>
      <w:r w:rsidR="00603BFD">
        <w:rPr>
          <w:rFonts w:ascii="Garamond" w:eastAsia="Thoth-Unicode" w:hAnsi="Garamond" w:cs="Thoth-Unicode"/>
          <w:kern w:val="0"/>
          <w:sz w:val="24"/>
          <w:szCs w:val="24"/>
        </w:rPr>
        <w:t>y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elektronicky na email: </w:t>
      </w:r>
      <w:hyperlink r:id="rId8" w:history="1">
        <w:r w:rsidR="009D0C70" w:rsidRPr="00CE5069">
          <w:rPr>
            <w:rStyle w:val="Hypertextovodkaz"/>
            <w:rFonts w:ascii="Garamond" w:eastAsia="Thoth-Unicode" w:hAnsi="Garamond" w:cs="Thoth-Unicode"/>
            <w:kern w:val="0"/>
            <w:sz w:val="24"/>
            <w:szCs w:val="24"/>
          </w:rPr>
          <w:t>dfaktury@nemzn.cz</w:t>
        </w:r>
      </w:hyperlink>
      <w:r w:rsidRPr="00EC4EA3">
        <w:rPr>
          <w:rFonts w:ascii="Garamond" w:eastAsia="Thoth-Unicode" w:hAnsi="Garamond" w:cs="Thoth-Unicode"/>
          <w:kern w:val="0"/>
          <w:sz w:val="24"/>
          <w:szCs w:val="24"/>
        </w:rPr>
        <w:t>.</w:t>
      </w:r>
      <w:r w:rsidR="009D0C70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Na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faktuře musí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>být mimo jiné vždy uvedeno toto číslo veřejné zakázky, ke které se faktura vztahuje</w:t>
      </w:r>
      <w:r w:rsidR="00862CB2">
        <w:rPr>
          <w:rFonts w:ascii="Garamond" w:eastAsia="Thoth-Unicode" w:hAnsi="Garamond" w:cs="Thoth-Unicode"/>
          <w:kern w:val="0"/>
          <w:sz w:val="24"/>
          <w:szCs w:val="24"/>
        </w:rPr>
        <w:t>,</w:t>
      </w:r>
      <w:r w:rsidR="00862CB2" w:rsidRPr="00862CB2">
        <w:rPr>
          <w:rFonts w:cstheme="minorHAnsi"/>
        </w:rPr>
        <w:t xml:space="preserve"> </w:t>
      </w:r>
      <w:r w:rsidR="00862CB2">
        <w:rPr>
          <w:rFonts w:cstheme="minorHAnsi"/>
        </w:rPr>
        <w:t>uveďte toto číslo jako specifický symbol</w:t>
      </w:r>
      <w:r w:rsidR="00862CB2">
        <w:rPr>
          <w:rFonts w:cstheme="minorHAnsi"/>
        </w:rPr>
        <w:t>: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862CB2" w:rsidRPr="00862CB2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2400003413</w:t>
      </w:r>
    </w:p>
    <w:p w14:paraId="14F162FC" w14:textId="23F9414F" w:rsidR="00EC4EA3" w:rsidRDefault="00EC4EA3" w:rsidP="00EC4EA3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</w:t>
      </w:r>
      <w:r w:rsidR="004D1554">
        <w:rPr>
          <w:rFonts w:ascii="Garamond" w:eastAsia="Thoth-Unicode" w:hAnsi="Garamond" w:cs="Thoth-Unicode"/>
          <w:kern w:val="0"/>
          <w:sz w:val="24"/>
          <w:szCs w:val="24"/>
        </w:rPr>
        <w:t>4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) 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>Nebude-li faktura splňovat veškeré náležitosti daňového dokladu podle zákona a další náležitosti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podle této smlouvy, je </w:t>
      </w:r>
      <w:r w:rsidR="009D0C70">
        <w:rPr>
          <w:rFonts w:ascii="Garamond" w:eastAsia="Thoth-Unicode" w:hAnsi="Garamond" w:cs="Thoth-Unicode"/>
          <w:kern w:val="0"/>
          <w:sz w:val="24"/>
          <w:szCs w:val="24"/>
        </w:rPr>
        <w:t>nabyvatel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oprávněn vrátit takovou fakturu </w:t>
      </w:r>
      <w:r w:rsidR="002C1D98">
        <w:rPr>
          <w:rFonts w:ascii="Garamond" w:eastAsia="Thoth-Unicode" w:hAnsi="Garamond" w:cs="Thoth-Unicode"/>
          <w:kern w:val="0"/>
          <w:sz w:val="24"/>
          <w:szCs w:val="24"/>
        </w:rPr>
        <w:t>poskytovateli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 k opravě, přičemž doba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 xml:space="preserve">její splatnosti začne znovu celá běžet ode dne doručení opravené faktury </w:t>
      </w:r>
      <w:r w:rsidR="009D0C70">
        <w:rPr>
          <w:rFonts w:ascii="Garamond" w:eastAsia="Thoth-Unicode" w:hAnsi="Garamond" w:cs="Thoth-Unicode"/>
          <w:kern w:val="0"/>
          <w:sz w:val="24"/>
          <w:szCs w:val="24"/>
        </w:rPr>
        <w:t>nabyvateli</w:t>
      </w:r>
      <w:r w:rsidRPr="00597CB2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2C1F10DF" w14:textId="77777777" w:rsidR="00B36969" w:rsidRPr="00B36969" w:rsidRDefault="00B36969" w:rsidP="00ED36C3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B3696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8.</w:t>
      </w:r>
    </w:p>
    <w:p w14:paraId="7FB45491" w14:textId="0DB19383" w:rsidR="00EC4EA3" w:rsidRPr="00EC4EA3" w:rsidRDefault="00EC4EA3" w:rsidP="00EC4EA3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Pro případ výskytu vady na autorském díle podle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čl. 1 této smlouvy má nabyvatel právo na odstranění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této vady v rámci technické podpory podle čl. 4 této smlouvy, a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to po celou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dobu trvání této podpory.</w:t>
      </w:r>
    </w:p>
    <w:p w14:paraId="441D45B2" w14:textId="77777777" w:rsidR="00EC4EA3" w:rsidRPr="00EC4EA3" w:rsidRDefault="00EC4EA3" w:rsidP="00EC4EA3">
      <w:pPr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C4EA3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9.</w:t>
      </w:r>
    </w:p>
    <w:p w14:paraId="6BFF943A" w14:textId="077DFE66" w:rsidR="00EC4EA3" w:rsidRPr="00EC4EA3" w:rsidRDefault="00EC4EA3" w:rsidP="00EC4EA3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Pro případ výskytu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vady na instalaci, implementaci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a konfiguraci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autorského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díla podle čl. 1 této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smlouvy má nabyvatel právo na bezplatné odstraněni této vady</w:t>
      </w:r>
      <w:r w:rsidR="0050411A">
        <w:rPr>
          <w:rFonts w:ascii="Garamond" w:eastAsia="Thoth-Unicode" w:hAnsi="Garamond" w:cs="Thoth-Unicode"/>
          <w:kern w:val="0"/>
          <w:sz w:val="24"/>
          <w:szCs w:val="24"/>
        </w:rPr>
        <w:t>,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 xml:space="preserve"> a to po celou dobu trvání </w:t>
      </w:r>
      <w:r>
        <w:rPr>
          <w:rFonts w:ascii="Garamond" w:eastAsia="Thoth-Unicode" w:hAnsi="Garamond" w:cs="Thoth-Unicode"/>
          <w:kern w:val="0"/>
          <w:sz w:val="24"/>
          <w:szCs w:val="24"/>
        </w:rPr>
        <w:t>t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echnické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podpory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podle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čl.</w:t>
      </w:r>
      <w:r w:rsidR="0050411A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4 této smlouvy.</w:t>
      </w:r>
    </w:p>
    <w:p w14:paraId="46E65A60" w14:textId="77777777" w:rsidR="00EC4EA3" w:rsidRPr="00EC4EA3" w:rsidRDefault="00EC4EA3" w:rsidP="00EC4EA3">
      <w:pPr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C4EA3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10.</w:t>
      </w:r>
    </w:p>
    <w:p w14:paraId="321C24B8" w14:textId="59B4D594" w:rsidR="00BC1641" w:rsidRDefault="00EC4EA3" w:rsidP="00EC4EA3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C4EA3">
        <w:rPr>
          <w:rFonts w:ascii="Garamond" w:eastAsia="Thoth-Unicode" w:hAnsi="Garamond" w:cs="Thoth-Unicode"/>
          <w:kern w:val="0"/>
          <w:sz w:val="24"/>
          <w:szCs w:val="24"/>
        </w:rPr>
        <w:t xml:space="preserve">Poskytovatel se zavazuje odstraňovat vady reklamované podle čl. </w:t>
      </w:r>
      <w:r w:rsidR="00AC2414">
        <w:rPr>
          <w:rFonts w:ascii="Garamond" w:eastAsia="Thoth-Unicode" w:hAnsi="Garamond" w:cs="Thoth-Unicode"/>
          <w:kern w:val="0"/>
          <w:sz w:val="24"/>
          <w:szCs w:val="24"/>
        </w:rPr>
        <w:t xml:space="preserve">8 a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9 této smlouvy ve lhůtě do</w:t>
      </w:r>
      <w:r w:rsidR="00BC1641">
        <w:rPr>
          <w:rFonts w:ascii="Garamond" w:eastAsia="Thoth-Unicode" w:hAnsi="Garamond" w:cs="Thoth-Unicode"/>
          <w:kern w:val="0"/>
          <w:sz w:val="24"/>
          <w:szCs w:val="24"/>
        </w:rPr>
        <w:t>: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</w:p>
    <w:p w14:paraId="3843A13E" w14:textId="04330763" w:rsidR="00BC1641" w:rsidRDefault="00BC1641" w:rsidP="00EC4EA3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a) 48 hodin</w:t>
      </w:r>
      <w:r w:rsidR="00EC4EA3" w:rsidRPr="00EC4EA3">
        <w:rPr>
          <w:rFonts w:ascii="Garamond" w:eastAsia="Thoth-Unicode" w:hAnsi="Garamond" w:cs="Thoth-Unicode"/>
          <w:kern w:val="0"/>
          <w:sz w:val="24"/>
          <w:szCs w:val="24"/>
        </w:rPr>
        <w:t xml:space="preserve"> od doručení písemné reklamace nabyvatele,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jde-li o kritickou vadu; kritickou vadou</w:t>
      </w:r>
      <w:r w:rsidR="006F62E2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>se přitom rozumí taková vada</w:t>
      </w:r>
      <w:r w:rsidR="006F62E2">
        <w:rPr>
          <w:rFonts w:ascii="Garamond" w:eastAsia="Thoth-Unicode" w:hAnsi="Garamond" w:cs="Thoth-Unicode"/>
          <w:kern w:val="0"/>
          <w:sz w:val="24"/>
          <w:szCs w:val="24"/>
        </w:rPr>
        <w:t>, v jejímž důsledku je provoz počítačového programu zcela zastaven, nebo je narušena důležitá funkce počítačového programu a hrozí vznik škody;</w:t>
      </w:r>
    </w:p>
    <w:p w14:paraId="03E47830" w14:textId="62160D95" w:rsidR="006F62E2" w:rsidRDefault="006F62E2" w:rsidP="00EC4EA3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b) 3 dnů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od doručení písemné reklamace nabyvatele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jde-li závažnou vadu; závažnou vadou se přitom rozumí taková vada, v jejímž důsledku je provoz počítačového programu zcela omezen, ale činnosti mohou pokračovat po určitou dobu ve formě náhradního řešení jiného problému (tzv. „jiná cesta“);</w:t>
      </w:r>
    </w:p>
    <w:p w14:paraId="145B965B" w14:textId="2E510DC0" w:rsidR="006F62E2" w:rsidRDefault="006F62E2" w:rsidP="00EC4EA3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c) 5 dnů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od doručení písemné reklamace nabyvatele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jde-li méně závažnou vadu; méně závažnou vadou se přitom rozumí taková vada, v jejímž důsledku je provoz počítačového programu ovlivněn, ale může pokračovat jiným způsobem.</w:t>
      </w:r>
    </w:p>
    <w:p w14:paraId="4BDB3160" w14:textId="77777777" w:rsidR="00EC4EA3" w:rsidRPr="00EC4EA3" w:rsidRDefault="00EC4EA3" w:rsidP="00EC4EA3">
      <w:pPr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C4EA3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11.</w:t>
      </w:r>
    </w:p>
    <w:p w14:paraId="400ACC04" w14:textId="17A4335C" w:rsidR="00EC4EA3" w:rsidRDefault="00EC4EA3" w:rsidP="00EC4EA3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Nepřikročí-li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poskytovatel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k odstranění vady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ve lhůtě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podle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čl. 10 této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smlouvy</w:t>
      </w:r>
      <w:r w:rsidR="0050411A">
        <w:rPr>
          <w:rFonts w:ascii="Garamond" w:eastAsia="Thoth-Unicode" w:hAnsi="Garamond" w:cs="Thoth-Unicode"/>
          <w:kern w:val="0"/>
          <w:sz w:val="24"/>
          <w:szCs w:val="24"/>
        </w:rPr>
        <w:t>,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 xml:space="preserve">nebo v něm </w:t>
      </w:r>
      <w:r>
        <w:rPr>
          <w:rFonts w:ascii="Garamond" w:eastAsia="Thoth-Unicode" w:hAnsi="Garamond" w:cs="Thoth-Unicode"/>
          <w:kern w:val="0"/>
          <w:sz w:val="24"/>
          <w:szCs w:val="24"/>
        </w:rPr>
        <w:t>z 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důvodů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na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své straně nepokračuje</w:t>
      </w:r>
      <w:r>
        <w:rPr>
          <w:rFonts w:ascii="Garamond" w:eastAsia="Thoth-Unicode" w:hAnsi="Garamond" w:cs="Thoth-Unicode"/>
          <w:kern w:val="0"/>
          <w:sz w:val="24"/>
          <w:szCs w:val="24"/>
        </w:rPr>
        <w:t>,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 xml:space="preserve"> a to ani po písemně výzvě nabyvatele</w:t>
      </w:r>
      <w:r>
        <w:rPr>
          <w:rFonts w:ascii="Garamond" w:eastAsia="Thoth-Unicode" w:hAnsi="Garamond" w:cs="Thoth-Unicode"/>
          <w:kern w:val="0"/>
          <w:sz w:val="24"/>
          <w:szCs w:val="24"/>
        </w:rPr>
        <w:t>,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 xml:space="preserve"> je nabyvatel oprávněn nechat provést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toto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odstranění třetí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osobou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na náklad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C4EA3">
        <w:rPr>
          <w:rFonts w:ascii="Garamond" w:eastAsia="Thoth-Unicode" w:hAnsi="Garamond" w:cs="Thoth-Unicode"/>
          <w:kern w:val="0"/>
          <w:sz w:val="24"/>
          <w:szCs w:val="24"/>
        </w:rPr>
        <w:t>poskytovatele.</w:t>
      </w:r>
    </w:p>
    <w:p w14:paraId="613D37C6" w14:textId="2479B476" w:rsidR="00EC4EA3" w:rsidRPr="00EC4EA3" w:rsidRDefault="00EC4EA3" w:rsidP="00EC4EA3">
      <w:pPr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12.</w:t>
      </w:r>
    </w:p>
    <w:p w14:paraId="0D979C78" w14:textId="3EE963E2" w:rsidR="00734E3D" w:rsidRPr="00734E3D" w:rsidRDefault="00734E3D" w:rsidP="00734E3D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Pro případ sporu o oprávněnost reklamace podle čl. 10 této smlouvy s</w:t>
      </w:r>
      <w:r w:rsidR="0050411A">
        <w:rPr>
          <w:rFonts w:ascii="Garamond" w:eastAsia="Thoth-Unicode" w:hAnsi="Garamond" w:cs="Thoth-Unicode"/>
          <w:kern w:val="0"/>
          <w:sz w:val="24"/>
          <w:szCs w:val="24"/>
        </w:rPr>
        <w:t>i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nabyvatel vyhrazuje právo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nechat vyhotovit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k prověření jakosti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příslušného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plnění znalecký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posudek, jehož výroku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se obě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strany zavazují podřizovat s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tím, že náklady na vyhotovení tohoto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posudku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se zavazuje nést </w:t>
      </w:r>
      <w:r>
        <w:rPr>
          <w:rFonts w:ascii="Garamond" w:eastAsia="Thoth-Unicode" w:hAnsi="Garamond" w:cs="Thoth-Unicode"/>
          <w:kern w:val="0"/>
          <w:sz w:val="24"/>
          <w:szCs w:val="24"/>
        </w:rPr>
        <w:t>ta smluvní strana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,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které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t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ento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posudek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nedal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za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pravdu.</w:t>
      </w:r>
    </w:p>
    <w:p w14:paraId="0C5A5BAC" w14:textId="77777777" w:rsidR="00734E3D" w:rsidRPr="00734E3D" w:rsidRDefault="00734E3D" w:rsidP="00734E3D">
      <w:pPr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734E3D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lastRenderedPageBreak/>
        <w:t>13.</w:t>
      </w:r>
    </w:p>
    <w:p w14:paraId="65EEB698" w14:textId="07F62EC1" w:rsidR="00B96D5F" w:rsidRPr="007B1C93" w:rsidRDefault="00B96D5F" w:rsidP="00734E3D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Pro případ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prodlení se splněním závazku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poskytovatele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k poskytnutí licence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ve lhůtě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podle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čl. 5 této smlouvy a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pro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případ jeho prodlení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s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odstraněním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vady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podle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čl. 10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písm. a)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této smlouvy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se poskytovatel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zavazuje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platit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nabyvateli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smluvní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pokutu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ve výši </w:t>
      </w:r>
      <w:r w:rsidR="00734E3D" w:rsidRPr="007B1C93">
        <w:rPr>
          <w:rFonts w:ascii="Garamond" w:eastAsia="Thoth-Unicode" w:hAnsi="Garamond" w:cs="Thoth-Unicode"/>
          <w:kern w:val="0"/>
          <w:sz w:val="24"/>
          <w:szCs w:val="24"/>
        </w:rPr>
        <w:t>0,1 % z odměny podle čl.</w:t>
      </w:r>
      <w:r w:rsidR="0050411A" w:rsidRPr="007B1C93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B1C93">
        <w:rPr>
          <w:rFonts w:ascii="Garamond" w:eastAsia="Thoth-Unicode" w:hAnsi="Garamond" w:cs="Thoth-Unicode"/>
          <w:kern w:val="0"/>
          <w:sz w:val="24"/>
          <w:szCs w:val="24"/>
        </w:rPr>
        <w:t xml:space="preserve">6 této smlouvy za každý započatý den tohoto prodlení. </w:t>
      </w:r>
    </w:p>
    <w:p w14:paraId="12C871FA" w14:textId="226BEB4D" w:rsidR="00B96D5F" w:rsidRDefault="00B96D5F" w:rsidP="00B96D5F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7B1C93">
        <w:rPr>
          <w:rFonts w:ascii="Garamond" w:eastAsia="Thoth-Unicode" w:hAnsi="Garamond" w:cs="Thoth-Unicode"/>
          <w:kern w:val="0"/>
          <w:sz w:val="24"/>
          <w:szCs w:val="24"/>
        </w:rPr>
        <w:t>(2) Pro případ prodlení poskytovatele s odstraněním vady podle čl. 10 písm. b) této smlouvy se poskytovatel zavazuje platit nabyvateli smluvní pokutu ve výši 0,05 % z odměny podle čl.</w:t>
      </w:r>
      <w:r w:rsidR="0050411A" w:rsidRPr="007B1C93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B1C93">
        <w:rPr>
          <w:rFonts w:ascii="Garamond" w:eastAsia="Thoth-Unicode" w:hAnsi="Garamond" w:cs="Thoth-Unicode"/>
          <w:kern w:val="0"/>
          <w:sz w:val="24"/>
          <w:szCs w:val="24"/>
        </w:rPr>
        <w:t>6 této smlouvy za každý započatý den tohoto prodlení.</w:t>
      </w:r>
    </w:p>
    <w:p w14:paraId="57652790" w14:textId="42EB6BAC" w:rsidR="00B96D5F" w:rsidRDefault="00B96D5F" w:rsidP="00734E3D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(3) Pro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případ prodlení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poskytovatele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s</w:t>
      </w:r>
      <w:r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odstraněním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vady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podle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čl. 10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písm. c)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této smlouvy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se poskytovatel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zavazuje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platit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nabyvateli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smluvní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pokutu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ve </w:t>
      </w:r>
      <w:r w:rsidRPr="007B1C93">
        <w:rPr>
          <w:rFonts w:ascii="Garamond" w:eastAsia="Thoth-Unicode" w:hAnsi="Garamond" w:cs="Thoth-Unicode"/>
          <w:kern w:val="0"/>
          <w:sz w:val="24"/>
          <w:szCs w:val="24"/>
        </w:rPr>
        <w:t>výši 0,025 % z odměny podle čl.</w:t>
      </w:r>
      <w:r w:rsidR="0050411A" w:rsidRPr="007B1C93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B1C93">
        <w:rPr>
          <w:rFonts w:ascii="Garamond" w:eastAsia="Thoth-Unicode" w:hAnsi="Garamond" w:cs="Thoth-Unicode"/>
          <w:kern w:val="0"/>
          <w:sz w:val="24"/>
          <w:szCs w:val="24"/>
        </w:rPr>
        <w:t>6 této smlouvy za každý započatý den tohoto prodlení.</w:t>
      </w:r>
    </w:p>
    <w:p w14:paraId="18038D83" w14:textId="4C5147BF" w:rsidR="00734E3D" w:rsidRDefault="00B96D5F" w:rsidP="00734E3D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(4) Ustanoveními odstavců 1 až 3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není dotčeno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právo nabyvatele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na náhradu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škody v plné výši, čímž se vylučuje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aplikace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§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2050 občanského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zákoníku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na právní vztah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mezi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oběma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stranami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v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> 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této</w:t>
      </w:r>
      <w:r w:rsid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věci.</w:t>
      </w:r>
    </w:p>
    <w:p w14:paraId="438E72B5" w14:textId="599B7ADB" w:rsidR="007B1C93" w:rsidRDefault="007B1C93" w:rsidP="00734E3D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4D1554">
        <w:rPr>
          <w:rFonts w:ascii="Garamond" w:eastAsia="Thoth-Unicode" w:hAnsi="Garamond" w:cs="Thoth-Unicode"/>
          <w:kern w:val="0"/>
          <w:sz w:val="24"/>
          <w:szCs w:val="24"/>
        </w:rPr>
        <w:t>(5) Nabyvatel je oprávněn jednostranně započíst závazky poskytovatele vzniklé dle odst. 1 až 4 a případný závazek k náhradě škodu oproti nároku poskytovatele dle čl. 6 této smlouvy.</w:t>
      </w:r>
    </w:p>
    <w:p w14:paraId="0BA51BDB" w14:textId="4837E5A4" w:rsidR="00734E3D" w:rsidRPr="00734E3D" w:rsidRDefault="00734E3D" w:rsidP="00734E3D">
      <w:pPr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734E3D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14.</w:t>
      </w:r>
    </w:p>
    <w:p w14:paraId="18DD12CC" w14:textId="4D93A913" w:rsidR="00734E3D" w:rsidRPr="00734E3D" w:rsidRDefault="00734E3D" w:rsidP="00734E3D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(1)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Nabyvatel je oprávněn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odstoupit od této smlouvy s účinky ex </w:t>
      </w:r>
      <w:proofErr w:type="spellStart"/>
      <w:r w:rsidRPr="00734E3D">
        <w:rPr>
          <w:rFonts w:ascii="Garamond" w:eastAsia="Thoth-Unicode" w:hAnsi="Garamond" w:cs="Thoth-Unicode"/>
          <w:kern w:val="0"/>
          <w:sz w:val="24"/>
          <w:szCs w:val="24"/>
        </w:rPr>
        <w:t>tunc</w:t>
      </w:r>
      <w:proofErr w:type="spellEnd"/>
      <w:r w:rsidRPr="00734E3D">
        <w:rPr>
          <w:rFonts w:ascii="Garamond" w:eastAsia="Thoth-Unicode" w:hAnsi="Garamond" w:cs="Thoth-Unicode"/>
          <w:kern w:val="0"/>
          <w:sz w:val="24"/>
          <w:szCs w:val="24"/>
        </w:rPr>
        <w:t>:</w:t>
      </w:r>
    </w:p>
    <w:p w14:paraId="0FD120D9" w14:textId="2CB135BE" w:rsidR="00734E3D" w:rsidRPr="00734E3D" w:rsidRDefault="00734E3D" w:rsidP="00734E3D">
      <w:pPr>
        <w:tabs>
          <w:tab w:val="left" w:pos="284"/>
        </w:tabs>
        <w:ind w:left="284" w:hanging="284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a) </w:t>
      </w:r>
      <w:r>
        <w:rPr>
          <w:rFonts w:ascii="Garamond" w:eastAsia="Thoth-Unicode" w:hAnsi="Garamond" w:cs="Thoth-Unicode"/>
          <w:kern w:val="0"/>
          <w:sz w:val="24"/>
          <w:szCs w:val="24"/>
        </w:rPr>
        <w:tab/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bude-li poskytovatel v prodlení se splněním sv</w:t>
      </w:r>
      <w:r>
        <w:rPr>
          <w:rFonts w:ascii="Garamond" w:eastAsia="Thoth-Unicode" w:hAnsi="Garamond" w:cs="Thoth-Unicode"/>
          <w:kern w:val="0"/>
          <w:sz w:val="24"/>
          <w:szCs w:val="24"/>
        </w:rPr>
        <w:t>é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ho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závazku k poskytnutí licence ve lhůtě podle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čl. 5 této smlouvy o víc než 1 týden,</w:t>
      </w:r>
    </w:p>
    <w:p w14:paraId="62E146C3" w14:textId="32744DFB" w:rsidR="00734E3D" w:rsidRPr="00734E3D" w:rsidRDefault="00734E3D" w:rsidP="00734E3D">
      <w:pPr>
        <w:tabs>
          <w:tab w:val="left" w:pos="284"/>
        </w:tabs>
        <w:ind w:left="284" w:hanging="284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b) </w:t>
      </w:r>
      <w:r>
        <w:rPr>
          <w:rFonts w:ascii="Garamond" w:eastAsia="Thoth-Unicode" w:hAnsi="Garamond" w:cs="Thoth-Unicode"/>
          <w:kern w:val="0"/>
          <w:sz w:val="24"/>
          <w:szCs w:val="24"/>
        </w:rPr>
        <w:tab/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bude-li poskytovatel v prodlení s odstraněním vady sv</w:t>
      </w:r>
      <w:r>
        <w:rPr>
          <w:rFonts w:ascii="Garamond" w:eastAsia="Thoth-Unicode" w:hAnsi="Garamond" w:cs="Thoth-Unicode"/>
          <w:kern w:val="0"/>
          <w:sz w:val="24"/>
          <w:szCs w:val="24"/>
        </w:rPr>
        <w:t>é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ho plnění ve lhůtě podle čl. 10</w:t>
      </w:r>
      <w:r w:rsidR="00B96D5F">
        <w:rPr>
          <w:rFonts w:ascii="Garamond" w:eastAsia="Thoth-Unicode" w:hAnsi="Garamond" w:cs="Thoth-Unicode"/>
          <w:kern w:val="0"/>
          <w:sz w:val="24"/>
          <w:szCs w:val="24"/>
        </w:rPr>
        <w:t xml:space="preserve"> písm. a) nebo b)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této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smlouvy o víc než 1 týden,</w:t>
      </w:r>
    </w:p>
    <w:p w14:paraId="69CB354A" w14:textId="75E5ADF3" w:rsidR="00734E3D" w:rsidRPr="00734E3D" w:rsidRDefault="00734E3D" w:rsidP="00734E3D">
      <w:pPr>
        <w:tabs>
          <w:tab w:val="left" w:pos="284"/>
        </w:tabs>
        <w:ind w:left="284" w:hanging="284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c) </w:t>
      </w:r>
      <w:r w:rsidR="001149A5">
        <w:rPr>
          <w:rFonts w:ascii="Garamond" w:eastAsia="Thoth-Unicode" w:hAnsi="Garamond" w:cs="Thoth-Unicode"/>
          <w:kern w:val="0"/>
          <w:sz w:val="24"/>
          <w:szCs w:val="24"/>
        </w:rPr>
        <w:tab/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nebude-li </w:t>
      </w:r>
      <w:r w:rsidR="002C1D98">
        <w:rPr>
          <w:rFonts w:ascii="Garamond" w:eastAsia="Thoth-Unicode" w:hAnsi="Garamond" w:cs="Thoth-Unicode"/>
          <w:kern w:val="0"/>
          <w:sz w:val="24"/>
          <w:szCs w:val="24"/>
        </w:rPr>
        <w:t>nabyvateli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umožněno nabytí nevýhradní licence v dohodnutém rozsahu podle čl.</w:t>
      </w:r>
      <w:r w:rsidR="001149A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3 této smlouvy, a</w:t>
      </w:r>
    </w:p>
    <w:p w14:paraId="33C84368" w14:textId="130B45B1" w:rsidR="00734E3D" w:rsidRPr="00734E3D" w:rsidRDefault="001149A5" w:rsidP="00734E3D">
      <w:pPr>
        <w:tabs>
          <w:tab w:val="left" w:pos="284"/>
        </w:tabs>
        <w:ind w:left="284" w:hanging="284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d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) v ostatních případech dle zákona.</w:t>
      </w:r>
    </w:p>
    <w:p w14:paraId="29A9CA53" w14:textId="033FBB9F" w:rsidR="00734E3D" w:rsidRPr="00734E3D" w:rsidRDefault="001149A5" w:rsidP="00734E3D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(2)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Poskytovatel je oprávněn od této smlouvy odstoupit</w:t>
      </w:r>
      <w:r w:rsidR="0050411A">
        <w:rPr>
          <w:rFonts w:ascii="Garamond" w:eastAsia="Thoth-Unicode" w:hAnsi="Garamond" w:cs="Thoth-Unicode"/>
          <w:kern w:val="0"/>
          <w:sz w:val="24"/>
          <w:szCs w:val="24"/>
        </w:rPr>
        <w:t xml:space="preserve">,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pokud bude nabyvate</w:t>
      </w:r>
      <w:r>
        <w:rPr>
          <w:rFonts w:ascii="Garamond" w:eastAsia="Thoth-Unicode" w:hAnsi="Garamond" w:cs="Thoth-Unicode"/>
          <w:kern w:val="0"/>
          <w:sz w:val="24"/>
          <w:szCs w:val="24"/>
        </w:rPr>
        <w:t>l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v prodlení s</w:t>
      </w:r>
      <w:r>
        <w:rPr>
          <w:rFonts w:ascii="Garamond" w:eastAsia="Thoth-Unicode" w:hAnsi="Garamond" w:cs="Thoth-Unicode"/>
          <w:kern w:val="0"/>
          <w:sz w:val="24"/>
          <w:szCs w:val="24"/>
        </w:rPr>
        <w:t>e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zaplacením odměny dle čl. 6 této smlouvy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o víc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e 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než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6</w:t>
      </w:r>
      <w:r w:rsidR="00734E3D" w:rsidRPr="00734E3D">
        <w:rPr>
          <w:rFonts w:ascii="Garamond" w:eastAsia="Thoth-Unicode" w:hAnsi="Garamond" w:cs="Thoth-Unicode"/>
          <w:kern w:val="0"/>
          <w:sz w:val="24"/>
          <w:szCs w:val="24"/>
        </w:rPr>
        <w:t>0 dnů.</w:t>
      </w:r>
    </w:p>
    <w:p w14:paraId="71C3AC10" w14:textId="77777777" w:rsidR="00734E3D" w:rsidRPr="001149A5" w:rsidRDefault="00734E3D" w:rsidP="001149A5">
      <w:pPr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1149A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15.</w:t>
      </w:r>
    </w:p>
    <w:p w14:paraId="6E57BEF8" w14:textId="2CA62735" w:rsidR="00734E3D" w:rsidRDefault="00734E3D" w:rsidP="00734E3D">
      <w:pPr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Není-li touto smlouvou ujednáno jinak</w:t>
      </w:r>
      <w:r w:rsidR="0050411A">
        <w:rPr>
          <w:rFonts w:ascii="Garamond" w:eastAsia="Thoth-Unicode" w:hAnsi="Garamond" w:cs="Thoth-Unicode"/>
          <w:kern w:val="0"/>
          <w:sz w:val="24"/>
          <w:szCs w:val="24"/>
        </w:rPr>
        <w:t>,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řídí se vzájemný právní vztah mezi poskytovatelem</w:t>
      </w:r>
      <w:r w:rsidR="001149A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a nabyvatelem </w:t>
      </w:r>
      <w:r w:rsidR="001149A5">
        <w:rPr>
          <w:rFonts w:ascii="Garamond" w:eastAsia="Thoth-Unicode" w:hAnsi="Garamond" w:cs="Thoth-Unicode"/>
          <w:kern w:val="0"/>
          <w:sz w:val="24"/>
          <w:szCs w:val="24"/>
        </w:rPr>
        <w:t>§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2358 a násl. občanského zákoníku a příslušný</w:t>
      </w:r>
      <w:r w:rsidR="0050411A">
        <w:rPr>
          <w:rFonts w:ascii="Garamond" w:eastAsia="Thoth-Unicode" w:hAnsi="Garamond" w:cs="Thoth-Unicode"/>
          <w:kern w:val="0"/>
          <w:sz w:val="24"/>
          <w:szCs w:val="24"/>
        </w:rPr>
        <w:t>mi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ustanovení</w:t>
      </w:r>
      <w:r w:rsidR="0050411A">
        <w:rPr>
          <w:rFonts w:ascii="Garamond" w:eastAsia="Thoth-Unicode" w:hAnsi="Garamond" w:cs="Thoth-Unicode"/>
          <w:kern w:val="0"/>
          <w:sz w:val="24"/>
          <w:szCs w:val="24"/>
        </w:rPr>
        <w:t>mi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zákona č. 121/2000</w:t>
      </w:r>
      <w:r w:rsidR="001149A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>Sb.</w:t>
      </w:r>
      <w:r w:rsidR="001149A5">
        <w:rPr>
          <w:rFonts w:ascii="Garamond" w:eastAsia="Thoth-Unicode" w:hAnsi="Garamond" w:cs="Thoth-Unicode"/>
          <w:kern w:val="0"/>
          <w:sz w:val="24"/>
          <w:szCs w:val="24"/>
        </w:rPr>
        <w:t>,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o právu autorském. Obě strany přitom vylučují aplikaci tzv. obchodních zvyklostí na tento vztah</w:t>
      </w:r>
      <w:r w:rsidR="001149A5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mezi oběma stranami ve smyslu </w:t>
      </w:r>
      <w:r w:rsidR="001149A5">
        <w:rPr>
          <w:rFonts w:ascii="Garamond" w:eastAsia="Thoth-Unicode" w:hAnsi="Garamond" w:cs="Thoth-Unicode"/>
          <w:kern w:val="0"/>
          <w:sz w:val="24"/>
          <w:szCs w:val="24"/>
        </w:rPr>
        <w:t>§</w:t>
      </w:r>
      <w:r w:rsidRPr="00734E3D">
        <w:rPr>
          <w:rFonts w:ascii="Garamond" w:eastAsia="Thoth-Unicode" w:hAnsi="Garamond" w:cs="Thoth-Unicode"/>
          <w:kern w:val="0"/>
          <w:sz w:val="24"/>
          <w:szCs w:val="24"/>
        </w:rPr>
        <w:t xml:space="preserve"> 558 občanského zákoníku.</w:t>
      </w:r>
    </w:p>
    <w:p w14:paraId="3019ABEC" w14:textId="5FD92643" w:rsidR="00B36969" w:rsidRPr="00B36969" w:rsidRDefault="00B36969" w:rsidP="00B36969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B3696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 w:rsidR="001149A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6</w:t>
      </w:r>
      <w:r w:rsidRPr="00B36969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01410FFF" w14:textId="77777777" w:rsidR="00B36969" w:rsidRPr="00B36969" w:rsidRDefault="00B36969" w:rsidP="00B36969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  <w:r w:rsidRPr="00B36969">
        <w:rPr>
          <w:rFonts w:ascii="Garamond" w:eastAsia="Thoth-Unicode" w:hAnsi="Garamond" w:cs="Thoth-Unicode"/>
          <w:kern w:val="0"/>
          <w:sz w:val="24"/>
          <w:szCs w:val="24"/>
        </w:rPr>
        <w:t>Tuto smlouvu lze změnit nebo zrušit pouze jinou písemnou dohodou obou smluvních stran.</w:t>
      </w:r>
    </w:p>
    <w:p w14:paraId="3F713ED9" w14:textId="396DA85E" w:rsidR="00B36969" w:rsidRPr="001C78E8" w:rsidRDefault="001149A5" w:rsidP="001C78E8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17</w:t>
      </w:r>
      <w:r w:rsidR="00B36969" w:rsidRPr="001C78E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7684E2F2" w14:textId="22277198" w:rsidR="00B36969" w:rsidRPr="00B36969" w:rsidRDefault="00B36969" w:rsidP="001C78E8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B36969">
        <w:rPr>
          <w:rFonts w:ascii="Garamond" w:eastAsia="Thoth-Unicode" w:hAnsi="Garamond" w:cs="Thoth-Unicode"/>
          <w:kern w:val="0"/>
          <w:sz w:val="24"/>
          <w:szCs w:val="24"/>
        </w:rPr>
        <w:t xml:space="preserve">Tato smlouva se uzavírá na základě návrhu na její uzavření ze strany </w:t>
      </w:r>
      <w:r w:rsidR="002C1D98">
        <w:rPr>
          <w:rFonts w:ascii="Garamond" w:eastAsia="Thoth-Unicode" w:hAnsi="Garamond" w:cs="Thoth-Unicode"/>
          <w:kern w:val="0"/>
          <w:sz w:val="24"/>
          <w:szCs w:val="24"/>
        </w:rPr>
        <w:t>nabyvatele</w:t>
      </w:r>
      <w:r w:rsidRPr="00B36969">
        <w:rPr>
          <w:rFonts w:ascii="Garamond" w:eastAsia="Thoth-Unicode" w:hAnsi="Garamond" w:cs="Thoth-Unicode"/>
          <w:kern w:val="0"/>
          <w:sz w:val="24"/>
          <w:szCs w:val="24"/>
        </w:rPr>
        <w:t>. Předpokladem uzavření této smlouvy je její písemná forma a dohoda o jejích podstatných náležitostech, čímž se rozumí celý obsah této smlouvy, jak je uveden v čl</w:t>
      </w:r>
      <w:r w:rsidRPr="002C1D98">
        <w:rPr>
          <w:rFonts w:ascii="Garamond" w:eastAsia="Thoth-Unicode" w:hAnsi="Garamond" w:cs="Thoth-Unicode"/>
          <w:kern w:val="0"/>
          <w:sz w:val="24"/>
          <w:szCs w:val="24"/>
        </w:rPr>
        <w:t xml:space="preserve">. 1 až 20 této smlouvy.  </w:t>
      </w:r>
      <w:r w:rsidR="002C1D98" w:rsidRPr="002C1D98">
        <w:rPr>
          <w:rFonts w:ascii="Garamond" w:eastAsia="Thoth-Unicode" w:hAnsi="Garamond" w:cs="Thoth-Unicode"/>
          <w:kern w:val="0"/>
          <w:sz w:val="24"/>
          <w:szCs w:val="24"/>
        </w:rPr>
        <w:t>Nabyvatel</w:t>
      </w:r>
      <w:r w:rsidRPr="002C1D98">
        <w:rPr>
          <w:rFonts w:ascii="Garamond" w:eastAsia="Thoth-Unicode" w:hAnsi="Garamond" w:cs="Thoth-Unicode"/>
          <w:kern w:val="0"/>
          <w:sz w:val="24"/>
          <w:szCs w:val="24"/>
        </w:rPr>
        <w:t xml:space="preserve"> přitom předem vylučuje přijetí tohoto návrhu s dodatkem nebo odchylkou ve smyslu ustanovení</w:t>
      </w:r>
      <w:r w:rsidRPr="00B36969">
        <w:rPr>
          <w:rFonts w:ascii="Garamond" w:eastAsia="Thoth-Unicode" w:hAnsi="Garamond" w:cs="Thoth-Unicode"/>
          <w:kern w:val="0"/>
          <w:sz w:val="24"/>
          <w:szCs w:val="24"/>
        </w:rPr>
        <w:t xml:space="preserve"> § 1740 odst. 3 občanského zákoníku. </w:t>
      </w:r>
    </w:p>
    <w:p w14:paraId="3757BE2B" w14:textId="7F185E19" w:rsidR="00B36969" w:rsidRPr="001C78E8" w:rsidRDefault="001149A5" w:rsidP="001C78E8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lastRenderedPageBreak/>
        <w:t>18</w:t>
      </w:r>
      <w:r w:rsidR="00B36969" w:rsidRPr="001C78E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3C274386" w14:textId="1E588915" w:rsidR="00B36969" w:rsidRPr="00B36969" w:rsidRDefault="002C1D98" w:rsidP="001C78E8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Poskytovatel</w:t>
      </w:r>
      <w:r w:rsidR="00B36969" w:rsidRPr="00B36969">
        <w:rPr>
          <w:rFonts w:ascii="Garamond" w:eastAsia="Thoth-Unicode" w:hAnsi="Garamond" w:cs="Thoth-Unicode"/>
          <w:kern w:val="0"/>
          <w:sz w:val="24"/>
          <w:szCs w:val="24"/>
        </w:rPr>
        <w:t xml:space="preserve"> uděluje 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nabyvateli </w:t>
      </w:r>
      <w:r w:rsidR="00B36969" w:rsidRPr="00B36969">
        <w:rPr>
          <w:rFonts w:ascii="Garamond" w:eastAsia="Thoth-Unicode" w:hAnsi="Garamond" w:cs="Thoth-Unicode"/>
          <w:kern w:val="0"/>
          <w:sz w:val="24"/>
          <w:szCs w:val="24"/>
        </w:rPr>
        <w:t>svůj výslovný souhlas se zveřejněním podmínek této smlouvy v rozsahu a za podmínek vyplývajících z příslušných právních předpisů (zejména zák. č. 106/1999 Sb., o svobodném přístupu k informacím, v platném znění).</w:t>
      </w:r>
    </w:p>
    <w:p w14:paraId="0DB8B0DD" w14:textId="58A1F2DA" w:rsidR="00B36969" w:rsidRPr="001C78E8" w:rsidRDefault="00B36969" w:rsidP="001C78E8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1C78E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 w:rsidR="002C1D9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9</w:t>
      </w:r>
      <w:r w:rsidRPr="001C78E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0165BD32" w14:textId="52496A21" w:rsidR="00B36969" w:rsidRPr="00B36969" w:rsidRDefault="001C78E8" w:rsidP="00B36969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(1)</w:t>
      </w:r>
      <w:r w:rsidR="00B36969" w:rsidRPr="00B36969">
        <w:rPr>
          <w:rFonts w:ascii="Garamond" w:eastAsia="Thoth-Unicode" w:hAnsi="Garamond" w:cs="Thoth-Unicode"/>
          <w:kern w:val="0"/>
          <w:sz w:val="24"/>
          <w:szCs w:val="24"/>
        </w:rPr>
        <w:t xml:space="preserve"> Tato smlouva nabývá platnosti dnem jejího uzavření.</w:t>
      </w:r>
    </w:p>
    <w:p w14:paraId="3717CF67" w14:textId="554E7A31" w:rsidR="00B36969" w:rsidRPr="00B36969" w:rsidRDefault="001C78E8" w:rsidP="001C78E8">
      <w:pPr>
        <w:spacing w:after="120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(2)</w:t>
      </w:r>
      <w:r w:rsidR="00B36969" w:rsidRPr="00B36969">
        <w:rPr>
          <w:rFonts w:ascii="Garamond" w:eastAsia="Thoth-Unicode" w:hAnsi="Garamond" w:cs="Thoth-Unicode"/>
          <w:kern w:val="0"/>
          <w:sz w:val="24"/>
          <w:szCs w:val="24"/>
        </w:rPr>
        <w:t xml:space="preserve"> Účinnosti pak tato smlouva nabývá dnem jejího uveřejnění v registru smluv ve smyslu zákona č. 340/2015 Sb., o zvláštních podmínkách účinnosti některých smluv, uveřejňování těchto smluv a o registru smluv (zákon o registru smluv), v platném znění. Smluvní strany se dohodly, že uveřejnění v registru smluv (ISRS) včetně uvedení metadat provede </w:t>
      </w:r>
      <w:r w:rsidR="002C1D98">
        <w:rPr>
          <w:rFonts w:ascii="Garamond" w:eastAsia="Thoth-Unicode" w:hAnsi="Garamond" w:cs="Thoth-Unicode"/>
          <w:kern w:val="0"/>
          <w:sz w:val="24"/>
          <w:szCs w:val="24"/>
        </w:rPr>
        <w:t>nabyvatel</w:t>
      </w:r>
      <w:r w:rsidR="00B36969" w:rsidRPr="00B36969">
        <w:rPr>
          <w:rFonts w:ascii="Garamond" w:eastAsia="Thoth-Unicode" w:hAnsi="Garamond" w:cs="Thoth-Unicode"/>
          <w:kern w:val="0"/>
          <w:sz w:val="24"/>
          <w:szCs w:val="24"/>
        </w:rPr>
        <w:t>.</w:t>
      </w:r>
    </w:p>
    <w:p w14:paraId="6B144B80" w14:textId="3B1D2B87" w:rsidR="00B36969" w:rsidRPr="001C78E8" w:rsidRDefault="002C1D98" w:rsidP="001C78E8">
      <w:pPr>
        <w:spacing w:after="120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20</w:t>
      </w:r>
      <w:r w:rsidR="00B36969" w:rsidRPr="001C78E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472B8960" w14:textId="4488CAF1" w:rsidR="008F7130" w:rsidRDefault="00B36969" w:rsidP="00B36969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  <w:r w:rsidRPr="00B36969">
        <w:rPr>
          <w:rFonts w:ascii="Garamond" w:eastAsia="Thoth-Unicode" w:hAnsi="Garamond" w:cs="Thoth-Unicode"/>
          <w:kern w:val="0"/>
          <w:sz w:val="24"/>
          <w:szCs w:val="24"/>
        </w:rPr>
        <w:t>Dáno ve dvou originálních písemných vyhotoveních, z nichž každá ze smluvních stran obdrží po jednom vyhotovení.</w:t>
      </w:r>
      <w:r w:rsidR="00A30E32" w:rsidRPr="00A30E32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A30E32" w:rsidRPr="00A30E32">
        <w:rPr>
          <w:rFonts w:ascii="Garamond" w:eastAsia="Thoth-Unicode" w:hAnsi="Garamond" w:cs="Thoth-Unicode"/>
          <w:kern w:val="0"/>
          <w:sz w:val="24"/>
          <w:szCs w:val="24"/>
        </w:rPr>
        <w:t>Smlouvu lze uzavřít taktéž elektronicky.</w:t>
      </w:r>
    </w:p>
    <w:p w14:paraId="24AE40A0" w14:textId="77777777" w:rsidR="00F37ACB" w:rsidRDefault="00F37ACB" w:rsidP="00ED36C3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1CBF6463" w14:textId="24773B5C" w:rsidR="00ED36C3" w:rsidRDefault="008F7130" w:rsidP="00B44B2B">
      <w:pPr>
        <w:tabs>
          <w:tab w:val="left" w:pos="851"/>
        </w:tabs>
        <w:spacing w:after="120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Přílohy:</w:t>
      </w:r>
      <w:r w:rsidR="00ED36C3"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="00B44B2B">
        <w:rPr>
          <w:rFonts w:ascii="Garamond" w:eastAsia="Thoth-Unicode" w:hAnsi="Garamond" w:cs="Thoth-Unicode"/>
          <w:kern w:val="0"/>
          <w:sz w:val="24"/>
          <w:szCs w:val="24"/>
        </w:rPr>
        <w:tab/>
      </w:r>
      <w:r w:rsidRPr="00ED36C3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 xml:space="preserve">Příloha č. 1 </w:t>
      </w:r>
      <w:r w:rsidR="00B44B2B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Technická s</w:t>
      </w:r>
      <w:r w:rsidR="00F37ACB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 xml:space="preserve">pecifikace předmětu plnění </w:t>
      </w:r>
    </w:p>
    <w:p w14:paraId="429095E9" w14:textId="42408BDB" w:rsidR="00B44B2B" w:rsidRDefault="00B44B2B" w:rsidP="00B44B2B">
      <w:pPr>
        <w:tabs>
          <w:tab w:val="left" w:pos="851"/>
        </w:tabs>
        <w:spacing w:after="120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ab/>
        <w:t xml:space="preserve">Příloha č. 2 </w:t>
      </w:r>
      <w:r w:rsidRPr="00B44B2B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Pravidla pro připojení nových technologií, vzdálenou správu atd.</w:t>
      </w:r>
    </w:p>
    <w:p w14:paraId="0EDE4F38" w14:textId="1D4FE2E0" w:rsidR="001C78E8" w:rsidRPr="00D84C84" w:rsidRDefault="001C78E8" w:rsidP="00ED36C3">
      <w:pPr>
        <w:spacing w:after="120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D84C84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 xml:space="preserve"> </w:t>
      </w:r>
    </w:p>
    <w:tbl>
      <w:tblPr>
        <w:tblStyle w:val="TableGrid"/>
        <w:tblW w:w="9493" w:type="dxa"/>
        <w:tblInd w:w="0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DA2D25" w:rsidRPr="00D84C84" w14:paraId="5392FA63" w14:textId="77777777" w:rsidTr="00ED36C3">
        <w:trPr>
          <w:trHeight w:val="393"/>
        </w:trPr>
        <w:tc>
          <w:tcPr>
            <w:tcW w:w="4673" w:type="dxa"/>
          </w:tcPr>
          <w:p w14:paraId="5599096C" w14:textId="3F2C4C1D" w:rsidR="00DA2D25" w:rsidRPr="00D84C84" w:rsidRDefault="00DA2D25" w:rsidP="004412CF">
            <w:pPr>
              <w:rPr>
                <w:rFonts w:ascii="Garamond" w:hAnsi="Garamond"/>
              </w:rPr>
            </w:pPr>
            <w:r w:rsidRPr="00D84C84">
              <w:rPr>
                <w:rFonts w:ascii="Garamond" w:hAnsi="Garamond"/>
                <w:b/>
              </w:rPr>
              <w:t xml:space="preserve">Za </w:t>
            </w:r>
            <w:r w:rsidR="009D0C70">
              <w:rPr>
                <w:rFonts w:ascii="Garamond" w:hAnsi="Garamond"/>
                <w:b/>
              </w:rPr>
              <w:t>nabyvatele</w:t>
            </w:r>
            <w:r w:rsidRPr="00D84C84">
              <w:rPr>
                <w:rFonts w:ascii="Garamond" w:hAnsi="Garamond"/>
                <w:b/>
              </w:rPr>
              <w:t>:</w:t>
            </w:r>
          </w:p>
        </w:tc>
        <w:tc>
          <w:tcPr>
            <w:tcW w:w="4820" w:type="dxa"/>
          </w:tcPr>
          <w:p w14:paraId="2BFE3DBB" w14:textId="60FC645D" w:rsidR="00DA2D25" w:rsidRPr="00ED36C3" w:rsidRDefault="00DA2D25" w:rsidP="004412CF">
            <w:pPr>
              <w:rPr>
                <w:rFonts w:ascii="Garamond" w:hAnsi="Garamond"/>
                <w:b/>
              </w:rPr>
            </w:pPr>
            <w:r w:rsidRPr="00D84C84">
              <w:rPr>
                <w:rFonts w:ascii="Garamond" w:hAnsi="Garamond"/>
                <w:b/>
              </w:rPr>
              <w:t xml:space="preserve">Za </w:t>
            </w:r>
            <w:r w:rsidR="002C1D98">
              <w:rPr>
                <w:rFonts w:ascii="Garamond" w:hAnsi="Garamond"/>
                <w:b/>
              </w:rPr>
              <w:t>poskytovatele</w:t>
            </w:r>
            <w:r w:rsidRPr="00D84C84">
              <w:rPr>
                <w:rFonts w:ascii="Garamond" w:hAnsi="Garamond"/>
                <w:b/>
              </w:rPr>
              <w:t>:</w:t>
            </w:r>
          </w:p>
        </w:tc>
      </w:tr>
      <w:tr w:rsidR="00DA2D25" w:rsidRPr="00D84C84" w14:paraId="60DCF089" w14:textId="77777777" w:rsidTr="00ED36C3">
        <w:trPr>
          <w:trHeight w:val="1985"/>
        </w:trPr>
        <w:tc>
          <w:tcPr>
            <w:tcW w:w="4673" w:type="dxa"/>
          </w:tcPr>
          <w:p w14:paraId="489C7E6F" w14:textId="77777777" w:rsidR="00DA2D25" w:rsidRPr="00D84C84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84C84">
              <w:rPr>
                <w:rFonts w:ascii="Garamond" w:hAnsi="Garamond"/>
                <w:sz w:val="24"/>
                <w:szCs w:val="24"/>
              </w:rPr>
              <w:t>Ve Znojmě</w:t>
            </w:r>
          </w:p>
        </w:tc>
        <w:tc>
          <w:tcPr>
            <w:tcW w:w="4820" w:type="dxa"/>
          </w:tcPr>
          <w:p w14:paraId="36AB3354" w14:textId="168AEEF7" w:rsidR="00DA2D25" w:rsidRPr="00D84C84" w:rsidRDefault="00DA2D25" w:rsidP="004412C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84C84">
              <w:rPr>
                <w:rFonts w:ascii="Garamond" w:hAnsi="Garamond"/>
                <w:sz w:val="24"/>
                <w:szCs w:val="24"/>
              </w:rPr>
              <w:t xml:space="preserve">V </w:t>
            </w:r>
            <w:r w:rsidRPr="002C1D98">
              <w:rPr>
                <w:rFonts w:ascii="Garamond" w:hAnsi="Garamond"/>
                <w:sz w:val="24"/>
                <w:szCs w:val="24"/>
                <w:highlight w:val="yellow"/>
              </w:rPr>
              <w:t>……………… (</w:t>
            </w:r>
            <w:r w:rsidRPr="002C1D98">
              <w:rPr>
                <w:rFonts w:ascii="Garamond" w:hAnsi="Garamond"/>
                <w:i/>
                <w:sz w:val="24"/>
                <w:szCs w:val="24"/>
                <w:highlight w:val="yellow"/>
              </w:rPr>
              <w:t xml:space="preserve">vyplní </w:t>
            </w:r>
            <w:r w:rsidR="002C1D98">
              <w:rPr>
                <w:rFonts w:ascii="Garamond" w:hAnsi="Garamond"/>
                <w:i/>
                <w:sz w:val="24"/>
                <w:szCs w:val="24"/>
                <w:highlight w:val="yellow"/>
              </w:rPr>
              <w:t>poskytovatel</w:t>
            </w:r>
            <w:r w:rsidRPr="002C1D98">
              <w:rPr>
                <w:rFonts w:ascii="Garamond" w:hAnsi="Garamond"/>
                <w:i/>
                <w:sz w:val="24"/>
                <w:szCs w:val="24"/>
                <w:highlight w:val="yellow"/>
              </w:rPr>
              <w:t>)</w:t>
            </w:r>
          </w:p>
        </w:tc>
      </w:tr>
      <w:tr w:rsidR="00DA2D25" w:rsidRPr="00D84C84" w14:paraId="539DA5ED" w14:textId="77777777" w:rsidTr="004412CF">
        <w:trPr>
          <w:trHeight w:val="404"/>
        </w:trPr>
        <w:tc>
          <w:tcPr>
            <w:tcW w:w="4673" w:type="dxa"/>
            <w:vAlign w:val="bottom"/>
          </w:tcPr>
          <w:p w14:paraId="17049B80" w14:textId="77777777" w:rsidR="00DA2D25" w:rsidRPr="00D84C84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84C84">
              <w:rPr>
                <w:rFonts w:ascii="Garamond" w:hAnsi="Garamond"/>
                <w:sz w:val="24"/>
                <w:szCs w:val="24"/>
              </w:rPr>
              <w:t>MUDr. Miroslav Kavka, MBA</w:t>
            </w:r>
          </w:p>
        </w:tc>
        <w:tc>
          <w:tcPr>
            <w:tcW w:w="4820" w:type="dxa"/>
            <w:vAlign w:val="bottom"/>
          </w:tcPr>
          <w:p w14:paraId="26CE4E46" w14:textId="77777777" w:rsidR="00DA2D25" w:rsidRPr="002C1D98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2C1D98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……………………………………………..</w:t>
            </w:r>
          </w:p>
        </w:tc>
      </w:tr>
      <w:tr w:rsidR="00DA2D25" w:rsidRPr="00D84C84" w14:paraId="7047D213" w14:textId="77777777" w:rsidTr="004412CF">
        <w:trPr>
          <w:trHeight w:val="269"/>
        </w:trPr>
        <w:tc>
          <w:tcPr>
            <w:tcW w:w="4673" w:type="dxa"/>
          </w:tcPr>
          <w:p w14:paraId="61F34E69" w14:textId="7730159B" w:rsidR="00DA2D25" w:rsidRPr="00D84C84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84C84">
              <w:rPr>
                <w:rFonts w:ascii="Garamond" w:hAnsi="Garamond"/>
                <w:sz w:val="24"/>
                <w:szCs w:val="24"/>
              </w:rPr>
              <w:t>ředitel Nemocnice Znojmo, p. o.</w:t>
            </w:r>
          </w:p>
        </w:tc>
        <w:tc>
          <w:tcPr>
            <w:tcW w:w="4820" w:type="dxa"/>
          </w:tcPr>
          <w:p w14:paraId="4E13FFC4" w14:textId="77777777" w:rsidR="00DA2D25" w:rsidRPr="002C1D98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2C1D98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……………………………………………..</w:t>
            </w:r>
          </w:p>
        </w:tc>
      </w:tr>
      <w:tr w:rsidR="00DA2D25" w:rsidRPr="00DA2D25" w14:paraId="401DE67E" w14:textId="77777777" w:rsidTr="004412CF">
        <w:trPr>
          <w:trHeight w:val="244"/>
        </w:trPr>
        <w:tc>
          <w:tcPr>
            <w:tcW w:w="4673" w:type="dxa"/>
          </w:tcPr>
          <w:p w14:paraId="0E5314DF" w14:textId="77777777" w:rsidR="00DA2D25" w:rsidRPr="00D84C84" w:rsidRDefault="00DA2D25" w:rsidP="004412CF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4546D21" w14:textId="77777777" w:rsidR="00DA2D25" w:rsidRPr="002C1D98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2C1D98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</w:t>
            </w:r>
          </w:p>
          <w:p w14:paraId="55EB54B7" w14:textId="2A7A996F" w:rsidR="00DA2D25" w:rsidRPr="002C1D98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2C1D98">
              <w:rPr>
                <w:rFonts w:ascii="Garamond" w:hAnsi="Garamond"/>
                <w:sz w:val="24"/>
                <w:szCs w:val="24"/>
                <w:highlight w:val="yellow"/>
              </w:rPr>
              <w:t>(</w:t>
            </w:r>
            <w:r w:rsidRPr="002C1D98">
              <w:rPr>
                <w:rFonts w:ascii="Garamond" w:hAnsi="Garamond"/>
                <w:i/>
                <w:sz w:val="24"/>
                <w:szCs w:val="24"/>
                <w:highlight w:val="yellow"/>
              </w:rPr>
              <w:t xml:space="preserve">vyplní </w:t>
            </w:r>
            <w:r w:rsidR="002C1D98">
              <w:rPr>
                <w:rFonts w:ascii="Garamond" w:hAnsi="Garamond"/>
                <w:i/>
                <w:sz w:val="24"/>
                <w:szCs w:val="24"/>
                <w:highlight w:val="yellow"/>
              </w:rPr>
              <w:t>poskytovatel</w:t>
            </w:r>
            <w:r w:rsidRPr="002C1D98">
              <w:rPr>
                <w:rFonts w:ascii="Garamond" w:hAnsi="Garamond"/>
                <w:i/>
                <w:sz w:val="24"/>
                <w:szCs w:val="24"/>
                <w:highlight w:val="yellow"/>
              </w:rPr>
              <w:t>)</w:t>
            </w:r>
          </w:p>
        </w:tc>
      </w:tr>
    </w:tbl>
    <w:p w14:paraId="32738960" w14:textId="0E35C137" w:rsidR="00B44B2B" w:rsidRDefault="00B44B2B" w:rsidP="00247FC4">
      <w:pPr>
        <w:spacing w:after="120"/>
        <w:rPr>
          <w:rFonts w:ascii="Garamond" w:hAnsi="Garamond"/>
          <w:sz w:val="32"/>
          <w:szCs w:val="32"/>
        </w:rPr>
      </w:pPr>
    </w:p>
    <w:p w14:paraId="3F421F04" w14:textId="77777777" w:rsidR="00B44B2B" w:rsidRDefault="00B44B2B">
      <w:pPr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br w:type="page"/>
      </w:r>
    </w:p>
    <w:p w14:paraId="0C4D16DA" w14:textId="21FE192D" w:rsidR="00B44B2B" w:rsidRDefault="00B44B2B" w:rsidP="00B44B2B">
      <w:pPr>
        <w:tabs>
          <w:tab w:val="left" w:pos="851"/>
        </w:tabs>
        <w:spacing w:after="120"/>
        <w:jc w:val="right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ED36C3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lastRenderedPageBreak/>
        <w:t xml:space="preserve">Příloha č. 1 </w:t>
      </w: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 xml:space="preserve">Technická specifikace předmětu plnění </w:t>
      </w:r>
    </w:p>
    <w:p w14:paraId="777CF52D" w14:textId="6067202E" w:rsidR="00F3106A" w:rsidRDefault="00F3106A" w:rsidP="00F3106A">
      <w:pPr>
        <w:spacing w:after="0" w:line="240" w:lineRule="auto"/>
        <w:jc w:val="both"/>
      </w:pPr>
      <w:r>
        <w:t xml:space="preserve">Předmětem plnění je dodávka a implementace softwaru pro řízení dokumentace v laboratořích NZ a k řízení managementu kvality dle normy ČSN EN ISO 15189:2013 (řízení rizik, řízení neshodné práce, preventivní a nápravná opatření, interní audity, verifikační protokoly) na dobu 4 let. </w:t>
      </w:r>
    </w:p>
    <w:p w14:paraId="0FD6BA29" w14:textId="6ADC0201" w:rsidR="00F3106A" w:rsidRPr="004A1689" w:rsidRDefault="00F3106A" w:rsidP="00F3106A">
      <w:pPr>
        <w:spacing w:after="0" w:line="240" w:lineRule="auto"/>
        <w:jc w:val="both"/>
      </w:pPr>
      <w:r>
        <w:t xml:space="preserve">Dodávka zahrnuje i servisní podporu s podmínkou odstranění </w:t>
      </w:r>
      <w:r w:rsidRPr="00B542D8">
        <w:t>závad.</w:t>
      </w:r>
      <w:bookmarkStart w:id="4" w:name="_heading=h.1fob9te" w:colFirst="0" w:colLast="0"/>
      <w:bookmarkEnd w:id="4"/>
      <w:r>
        <w:t xml:space="preserve"> </w:t>
      </w:r>
    </w:p>
    <w:p w14:paraId="3BB05F48" w14:textId="77777777" w:rsidR="00F3106A" w:rsidRPr="004A1689" w:rsidRDefault="00F3106A" w:rsidP="00F3106A">
      <w:pPr>
        <w:spacing w:before="60" w:after="0" w:line="240" w:lineRule="auto"/>
        <w:jc w:val="both"/>
      </w:pPr>
      <w:r>
        <w:t>Zadavatel stanovuje následující minimální technické parametry a požadavky:</w:t>
      </w:r>
    </w:p>
    <w:p w14:paraId="78442352" w14:textId="77777777" w:rsidR="00F3106A" w:rsidRDefault="00F3106A" w:rsidP="00F3106A">
      <w:pPr>
        <w:spacing w:after="0" w:line="240" w:lineRule="auto"/>
      </w:pPr>
    </w:p>
    <w:p w14:paraId="690BFCA5" w14:textId="77777777" w:rsidR="00F3106A" w:rsidRDefault="00F3106A" w:rsidP="00F3106A">
      <w:pPr>
        <w:spacing w:after="0" w:line="240" w:lineRule="auto"/>
      </w:pPr>
      <w:r>
        <w:t>Základní parametry</w:t>
      </w:r>
    </w:p>
    <w:p w14:paraId="0BE82986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Elektronické řízení interní i externí dokumentace (včetně .</w:t>
      </w:r>
      <w:proofErr w:type="spellStart"/>
      <w:r>
        <w:t>pdf</w:t>
      </w:r>
      <w:proofErr w:type="spellEnd"/>
      <w:r>
        <w:t xml:space="preserve"> souborů a obrázků)</w:t>
      </w:r>
    </w:p>
    <w:p w14:paraId="648DBC84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Samostatné instalace pro 4 laboratoře (OKB, HTO, MO a PAO)</w:t>
      </w:r>
    </w:p>
    <w:p w14:paraId="2C85EEB1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Neomezený počet uživatelů, pracovních stanic a dokumentů</w:t>
      </w:r>
    </w:p>
    <w:p w14:paraId="2922D4DE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Správa uživatelů a jejich rolí</w:t>
      </w:r>
    </w:p>
    <w:p w14:paraId="384D16F3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Možnost exportu dat</w:t>
      </w:r>
    </w:p>
    <w:p w14:paraId="00763B01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Laboratorní agenda vycházející z normy ČSN EN ISO 15189:2013</w:t>
      </w:r>
    </w:p>
    <w:p w14:paraId="52C236DB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Hromadný převod stávající dokumentace (Word, Excel, SLP)</w:t>
      </w:r>
    </w:p>
    <w:p w14:paraId="7FBF50D0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Možnost rozšíření licence na další oddělení a úseky NZ</w:t>
      </w:r>
    </w:p>
    <w:p w14:paraId="698C3E63" w14:textId="77777777" w:rsidR="00F3106A" w:rsidRDefault="00F3106A" w:rsidP="00F3106A">
      <w:pPr>
        <w:spacing w:after="0" w:line="240" w:lineRule="auto"/>
        <w:jc w:val="both"/>
      </w:pPr>
    </w:p>
    <w:p w14:paraId="44423B80" w14:textId="77777777" w:rsidR="00F3106A" w:rsidRDefault="00F3106A" w:rsidP="00F3106A">
      <w:pPr>
        <w:spacing w:after="0" w:line="240" w:lineRule="auto"/>
        <w:jc w:val="both"/>
      </w:pPr>
      <w:r>
        <w:t>Požadavky na řízení dokumentace</w:t>
      </w:r>
    </w:p>
    <w:p w14:paraId="3BF167AE" w14:textId="77777777" w:rsidR="00F3106A" w:rsidRDefault="00F3106A" w:rsidP="00F3106A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Automatické ukládání a evidence změn v dokumentu</w:t>
      </w:r>
    </w:p>
    <w:p w14:paraId="3723514F" w14:textId="77777777" w:rsidR="00F3106A" w:rsidRDefault="00F3106A" w:rsidP="00F3106A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Zobrazení textu i bez zvýraznění změn</w:t>
      </w:r>
    </w:p>
    <w:p w14:paraId="60F30808" w14:textId="77777777" w:rsidR="00F3106A" w:rsidRDefault="00F3106A" w:rsidP="00F3106A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Možnost spolupráce více autorů na jednom dokumentu</w:t>
      </w:r>
    </w:p>
    <w:p w14:paraId="66880DEB" w14:textId="77777777" w:rsidR="00F3106A" w:rsidRDefault="00F3106A" w:rsidP="00F3106A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Výběr z pevně daných osnov i možnost použití vlastní osnovy</w:t>
      </w:r>
    </w:p>
    <w:p w14:paraId="0C8AE99C" w14:textId="77777777" w:rsidR="00F3106A" w:rsidRDefault="00F3106A" w:rsidP="00F3106A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Možnost vložení odkazu na laboratorní položky, další dokumenty i externí stránky</w:t>
      </w:r>
    </w:p>
    <w:p w14:paraId="4830B51A" w14:textId="77777777" w:rsidR="00F3106A" w:rsidRDefault="00F3106A" w:rsidP="00F3106A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Automatická kontrola platnosti všech odkazů</w:t>
      </w:r>
    </w:p>
    <w:p w14:paraId="0FA07F77" w14:textId="77777777" w:rsidR="00F3106A" w:rsidRDefault="00F3106A" w:rsidP="00F3106A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Hromadné zasílání dokumentů vybraným skupinám uživatelů k seznámení</w:t>
      </w:r>
    </w:p>
    <w:p w14:paraId="1B46A39E" w14:textId="77777777" w:rsidR="00F3106A" w:rsidRDefault="00F3106A" w:rsidP="00F3106A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Automatické upozornění na nově schválené dokumenty a na nutnost revize</w:t>
      </w:r>
    </w:p>
    <w:p w14:paraId="7FFF9E64" w14:textId="77777777" w:rsidR="00F3106A" w:rsidRDefault="00F3106A" w:rsidP="00F3106A">
      <w:pPr>
        <w:spacing w:after="0" w:line="240" w:lineRule="auto"/>
        <w:jc w:val="both"/>
      </w:pPr>
    </w:p>
    <w:p w14:paraId="0C6C52CD" w14:textId="77777777" w:rsidR="00F3106A" w:rsidRDefault="00F3106A" w:rsidP="00F3106A">
      <w:pPr>
        <w:spacing w:after="0" w:line="240" w:lineRule="auto"/>
        <w:jc w:val="both"/>
      </w:pPr>
      <w:r>
        <w:t>Laboratorní agenda</w:t>
      </w:r>
    </w:p>
    <w:p w14:paraId="32B12850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 xml:space="preserve">Provázání s národními číselníky laboratorních položek </w:t>
      </w:r>
    </w:p>
    <w:p w14:paraId="5164547C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Správa lokálních číselníků laboratorních položek</w:t>
      </w:r>
    </w:p>
    <w:p w14:paraId="110A0792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Tvorba laboratorní příručky ve formě interaktivní webové stránky s automatickou propagací změn</w:t>
      </w:r>
    </w:p>
    <w:p w14:paraId="48D11C71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Přehled laboratorních metod s vyhledáváním pomocí synonym</w:t>
      </w:r>
    </w:p>
    <w:p w14:paraId="193D01EE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Kartotéka pracovníků</w:t>
      </w:r>
    </w:p>
    <w:p w14:paraId="547FC9FF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Kartotéka přístrojů včetně hlídání termínů BTK a evidence smluv</w:t>
      </w:r>
    </w:p>
    <w:p w14:paraId="457520DD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Tvorba verifikačních protokolů</w:t>
      </w:r>
    </w:p>
    <w:p w14:paraId="397AA756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Řízení interních auditů (záznamy, neshody)</w:t>
      </w:r>
    </w:p>
    <w:p w14:paraId="31725B0B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Řízení neshod, nápravných a preventivních opatření</w:t>
      </w:r>
    </w:p>
    <w:p w14:paraId="0B1B95CF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Analýza rizik</w:t>
      </w:r>
    </w:p>
    <w:p w14:paraId="3C4ECD63" w14:textId="77777777" w:rsidR="00F3106A" w:rsidRDefault="00F3106A" w:rsidP="00F3106A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Řízení externího hodnocení kvality (EHK) včetně záznamů výsledků</w:t>
      </w:r>
    </w:p>
    <w:p w14:paraId="362A28BB" w14:textId="77777777" w:rsidR="00F3106A" w:rsidRDefault="00F3106A" w:rsidP="00F3106A"/>
    <w:p w14:paraId="2C18852D" w14:textId="77777777" w:rsidR="00B44B2B" w:rsidRDefault="00B44B2B">
      <w:pPr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br w:type="page"/>
      </w:r>
    </w:p>
    <w:p w14:paraId="017204FB" w14:textId="43B9E12B" w:rsidR="00B4259E" w:rsidRDefault="00B44B2B" w:rsidP="00B44B2B">
      <w:pPr>
        <w:spacing w:after="120"/>
        <w:jc w:val="right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lastRenderedPageBreak/>
        <w:t xml:space="preserve">Příloha č. 2 </w:t>
      </w:r>
      <w:r w:rsidRPr="00B44B2B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Pravidla pro připojení nových technologií, vzdálenou správu atd.</w:t>
      </w:r>
    </w:p>
    <w:p w14:paraId="05FA818E" w14:textId="77777777" w:rsidR="00B542D8" w:rsidRPr="006F3305" w:rsidRDefault="00B542D8" w:rsidP="00B542D8">
      <w:pPr>
        <w:rPr>
          <w:rFonts w:cstheme="minorHAnsi"/>
          <w:b/>
          <w:bCs/>
        </w:rPr>
      </w:pPr>
      <w:r w:rsidRPr="006F3305">
        <w:rPr>
          <w:rFonts w:cstheme="minorHAnsi"/>
          <w:b/>
          <w:bCs/>
        </w:rPr>
        <w:t xml:space="preserve">Odbor informačních technologií (OIT) Nemocnice Znojmo </w:t>
      </w:r>
    </w:p>
    <w:p w14:paraId="7648D523" w14:textId="77777777" w:rsidR="00B542D8" w:rsidRDefault="00B542D8" w:rsidP="00B542D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Verze 8 - 27. 06. 2023</w:t>
      </w:r>
    </w:p>
    <w:p w14:paraId="63259487" w14:textId="77777777" w:rsidR="00B542D8" w:rsidRDefault="00B542D8" w:rsidP="00B542D8">
      <w:pPr>
        <w:jc w:val="both"/>
        <w:rPr>
          <w:rFonts w:ascii="Calibri" w:hAnsi="Calibri" w:cs="Calibri"/>
          <w:b/>
          <w:bCs/>
        </w:rPr>
      </w:pPr>
    </w:p>
    <w:p w14:paraId="33BFDFC7" w14:textId="77777777" w:rsidR="00B542D8" w:rsidRDefault="00B542D8" w:rsidP="00B542D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Níže uvedená pravidla Nemocnice Znojmo (dále jen Zadavatel) vycházejí z principu rovného zacházení s dodavateli, hospodárného nakládání prostředků a zejména kybernetické bezpečnosti Nemocnice Znojmo a jsou přílohou zadávací dokumentace výběrového řízení a smlouvy při nákupu nových technologií.</w:t>
      </w:r>
    </w:p>
    <w:p w14:paraId="62F89BE0" w14:textId="77777777" w:rsidR="00B542D8" w:rsidRDefault="00B542D8" w:rsidP="00B542D8">
      <w:pPr>
        <w:jc w:val="both"/>
        <w:rPr>
          <w:rFonts w:ascii="Calibri" w:hAnsi="Calibri" w:cs="Calibri"/>
        </w:rPr>
      </w:pPr>
    </w:p>
    <w:p w14:paraId="7680BE42" w14:textId="77777777" w:rsidR="00B542D8" w:rsidRDefault="00B542D8" w:rsidP="00B542D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Obecná pravidla:</w:t>
      </w:r>
    </w:p>
    <w:p w14:paraId="440FDAAB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Technologie musí být dodána jako samostatně funkční celek, veškeré pro chod zařízení potřebné komponenty jako je například HW, SW, </w:t>
      </w:r>
      <w:proofErr w:type="spellStart"/>
      <w:r w:rsidRPr="00B204AE">
        <w:rPr>
          <w:rFonts w:ascii="Calibri" w:eastAsia="Calibri" w:hAnsi="Calibri" w:cs="Calibri"/>
          <w:lang w:bidi="en-US"/>
        </w:rPr>
        <w:t>middle-ware</w:t>
      </w:r>
      <w:proofErr w:type="spellEnd"/>
      <w:r w:rsidRPr="00B204AE">
        <w:rPr>
          <w:rFonts w:ascii="Calibri" w:eastAsia="Calibri" w:hAnsi="Calibri" w:cs="Calibri"/>
          <w:lang w:bidi="en-US"/>
        </w:rPr>
        <w:t>, licence, SQL databáze a podobně dodá Dodavatel jako součást dodávky</w:t>
      </w:r>
      <w:r>
        <w:rPr>
          <w:rFonts w:ascii="Calibri" w:eastAsia="Calibri" w:hAnsi="Calibri" w:cs="Calibri"/>
          <w:lang w:bidi="en-US"/>
        </w:rPr>
        <w:t>.</w:t>
      </w:r>
    </w:p>
    <w:p w14:paraId="2F44B328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Instalované technologie nebudou mít přístup na internet, s výjimkou vzdálené správy, bude-li požadována</w:t>
      </w:r>
      <w:r>
        <w:rPr>
          <w:rFonts w:ascii="Calibri" w:eastAsia="Calibri" w:hAnsi="Calibri" w:cs="Calibri"/>
          <w:lang w:bidi="en-US"/>
        </w:rPr>
        <w:t>.</w:t>
      </w:r>
    </w:p>
    <w:p w14:paraId="7999C19F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Instalované technologie budou odděleny od vnitřních počítačových sítí Zadavatele, jedinou výjimkou může být přístup k (vazba na) LIS, NIS či PACS, bude-li požadován a předem dohodnut</w:t>
      </w:r>
      <w:r>
        <w:rPr>
          <w:rFonts w:ascii="Calibri" w:eastAsia="Calibri" w:hAnsi="Calibri" w:cs="Calibri"/>
          <w:lang w:bidi="en-US"/>
        </w:rPr>
        <w:t>.</w:t>
      </w:r>
    </w:p>
    <w:p w14:paraId="1AA5E487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Instalovaným technologiím nebude umožněn přenos dat přes Wi-Fi</w:t>
      </w:r>
      <w:r>
        <w:rPr>
          <w:rFonts w:ascii="Calibri" w:eastAsia="Calibri" w:hAnsi="Calibri" w:cs="Calibri"/>
          <w:lang w:bidi="en-US"/>
        </w:rPr>
        <w:t>.</w:t>
      </w:r>
    </w:p>
    <w:p w14:paraId="693CDAF1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V rámci dodávek není možné instalovat Wi-Fi </w:t>
      </w:r>
      <w:proofErr w:type="spellStart"/>
      <w:r w:rsidRPr="00B204AE">
        <w:rPr>
          <w:rFonts w:ascii="Calibri" w:eastAsia="Calibri" w:hAnsi="Calibri" w:cs="Calibri"/>
          <w:lang w:bidi="en-US"/>
        </w:rPr>
        <w:t>AccessPointy</w:t>
      </w:r>
      <w:proofErr w:type="spellEnd"/>
      <w:r w:rsidRPr="00B204AE">
        <w:rPr>
          <w:rFonts w:ascii="Calibri" w:eastAsia="Calibri" w:hAnsi="Calibri" w:cs="Calibri"/>
          <w:lang w:bidi="en-US"/>
        </w:rPr>
        <w:t>, ani provozovat Wi-Fi komunikaci</w:t>
      </w:r>
      <w:r>
        <w:rPr>
          <w:rFonts w:ascii="Calibri" w:eastAsia="Calibri" w:hAnsi="Calibri" w:cs="Calibri"/>
          <w:lang w:bidi="en-US"/>
        </w:rPr>
        <w:t>.</w:t>
      </w:r>
    </w:p>
    <w:p w14:paraId="5EA84FD4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U instalace technologie musí být vždy přítomen pracovník OIT Zadavatele. Termín instalace musí být dohodnut s pracovníky OIT Zadavatele alespoň </w:t>
      </w:r>
      <w:r>
        <w:rPr>
          <w:rFonts w:ascii="Calibri" w:eastAsia="Calibri" w:hAnsi="Calibri" w:cs="Calibri"/>
          <w:lang w:bidi="en-US"/>
        </w:rPr>
        <w:t>5</w:t>
      </w:r>
      <w:r w:rsidRPr="00B204AE">
        <w:rPr>
          <w:rFonts w:ascii="Calibri" w:eastAsia="Calibri" w:hAnsi="Calibri" w:cs="Calibri"/>
          <w:lang w:bidi="en-US"/>
        </w:rPr>
        <w:t xml:space="preserve"> pracovní</w:t>
      </w:r>
      <w:r>
        <w:rPr>
          <w:rFonts w:ascii="Calibri" w:eastAsia="Calibri" w:hAnsi="Calibri" w:cs="Calibri"/>
          <w:lang w:bidi="en-US"/>
        </w:rPr>
        <w:t>ch</w:t>
      </w:r>
      <w:r w:rsidRPr="00B204AE">
        <w:rPr>
          <w:rFonts w:ascii="Calibri" w:eastAsia="Calibri" w:hAnsi="Calibri" w:cs="Calibri"/>
          <w:lang w:bidi="en-US"/>
        </w:rPr>
        <w:t xml:space="preserve"> dn</w:t>
      </w:r>
      <w:r>
        <w:rPr>
          <w:rFonts w:ascii="Calibri" w:eastAsia="Calibri" w:hAnsi="Calibri" w:cs="Calibri"/>
          <w:lang w:bidi="en-US"/>
        </w:rPr>
        <w:t>í</w:t>
      </w:r>
      <w:r w:rsidRPr="00B204AE">
        <w:rPr>
          <w:rFonts w:ascii="Calibri" w:eastAsia="Calibri" w:hAnsi="Calibri" w:cs="Calibri"/>
          <w:lang w:bidi="en-US"/>
        </w:rPr>
        <w:t xml:space="preserve"> předem</w:t>
      </w:r>
      <w:r>
        <w:rPr>
          <w:rFonts w:ascii="Calibri" w:eastAsia="Calibri" w:hAnsi="Calibri" w:cs="Calibri"/>
          <w:lang w:bidi="en-US"/>
        </w:rPr>
        <w:t>.</w:t>
      </w:r>
    </w:p>
    <w:p w14:paraId="7A0B50A7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Bude-li součástí dodávky nestandardní technologie, např. HW USB klíč, bude tato technologie (zařízení) provozována plně v režii dodavatele. </w:t>
      </w:r>
    </w:p>
    <w:p w14:paraId="1F22124D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Servery Dodavatelů je možno umístit do nemocniční serverovny, v takovém případě musí být splněny následující podmínky: </w:t>
      </w:r>
    </w:p>
    <w:p w14:paraId="7924E2B8" w14:textId="77777777" w:rsidR="00B542D8" w:rsidRDefault="00B542D8" w:rsidP="00B542D8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Calibri" w:hAnsi="Calibri" w:cs="Calibri"/>
        </w:rPr>
      </w:pPr>
      <w:r w:rsidRPr="00B204AE">
        <w:rPr>
          <w:rFonts w:ascii="Calibri" w:eastAsia="Calibri" w:hAnsi="Calibri" w:cs="Calibri"/>
          <w:lang w:bidi="en-US"/>
        </w:rPr>
        <w:t>server</w:t>
      </w:r>
      <w:r>
        <w:rPr>
          <w:rFonts w:ascii="Calibri" w:hAnsi="Calibri" w:cs="Calibri"/>
        </w:rPr>
        <w:t xml:space="preserve"> musí být výhradně typu RACK </w:t>
      </w:r>
      <w:proofErr w:type="spellStart"/>
      <w:r>
        <w:rPr>
          <w:rFonts w:ascii="Calibri" w:hAnsi="Calibri" w:cs="Calibri"/>
        </w:rPr>
        <w:t>mount</w:t>
      </w:r>
      <w:proofErr w:type="spellEnd"/>
      <w:r>
        <w:rPr>
          <w:rFonts w:ascii="Calibri" w:hAnsi="Calibri" w:cs="Calibri"/>
        </w:rPr>
        <w:t>, dodávka včetně ližin a kabeláží,</w:t>
      </w:r>
    </w:p>
    <w:p w14:paraId="171AA961" w14:textId="77777777" w:rsidR="00B542D8" w:rsidRDefault="00B542D8" w:rsidP="00B542D8">
      <w:pPr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přístup pracovníků Dodavatele k serveru jen po předchozí dohodě s pracovníky OIT, pouze v pracovní dny, mimo tuto dobu jen výjimečně,</w:t>
      </w:r>
    </w:p>
    <w:p w14:paraId="74E09D84" w14:textId="77777777" w:rsidR="00B542D8" w:rsidRDefault="00B542D8" w:rsidP="00B542D8">
      <w:pPr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server bude mít k dispozici 1x 10/100/1000 Base-T port, RJ-45,</w:t>
      </w:r>
    </w:p>
    <w:p w14:paraId="6807C264" w14:textId="77777777" w:rsidR="00B542D8" w:rsidRDefault="00B542D8" w:rsidP="00B542D8">
      <w:pPr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server musí podporovat vzdálené KVM, k serveru nebude připojen monitor, klávesnice, myš,</w:t>
      </w:r>
    </w:p>
    <w:p w14:paraId="0CB976D5" w14:textId="77777777" w:rsidR="00B542D8" w:rsidRDefault="00B542D8" w:rsidP="00B542D8">
      <w:pPr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 serveru bude dodáno prohlášení o instalovaném SW a licencích.</w:t>
      </w:r>
    </w:p>
    <w:p w14:paraId="42109090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Instalace technologie nesmí generovat na straně Zadavatele vícenáklady. Pokud bude hrozit vznik vícenákladů, bude dodavatel před jejich vznikem osloven a bude mu navržen způsob jeho finanční spoluúčasti na těchto nákladech. </w:t>
      </w:r>
    </w:p>
    <w:p w14:paraId="1086AD39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Technologie musí být dodána jako samostatně funkční celek, bude-li součástí dodávky switch, router </w:t>
      </w:r>
      <w:proofErr w:type="spellStart"/>
      <w:r w:rsidRPr="00B204AE">
        <w:rPr>
          <w:rFonts w:ascii="Calibri" w:eastAsia="Calibri" w:hAnsi="Calibri" w:cs="Calibri"/>
          <w:lang w:bidi="en-US"/>
        </w:rPr>
        <w:t>atp</w:t>
      </w:r>
      <w:proofErr w:type="spellEnd"/>
      <w:r w:rsidRPr="00B204AE">
        <w:rPr>
          <w:rFonts w:ascii="Calibri" w:eastAsia="Calibri" w:hAnsi="Calibri" w:cs="Calibri"/>
          <w:lang w:bidi="en-US"/>
        </w:rPr>
        <w:t>, budou s předstihem před instalací přesně definovány jednotlivé požadavky na propojení (LAN, IS, vzdálená správa atp.)</w:t>
      </w:r>
      <w:r>
        <w:rPr>
          <w:rFonts w:ascii="Calibri" w:eastAsia="Calibri" w:hAnsi="Calibri" w:cs="Calibri"/>
          <w:lang w:bidi="en-US"/>
        </w:rPr>
        <w:t>.</w:t>
      </w:r>
    </w:p>
    <w:p w14:paraId="19B00D12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Pracovníci Zadavatele vyhodnotí veškeré požadavky IT dodavatele z pohledu kybernetické bezpečnosti. Vyhrazují si právo neumožnit komunikaci zastaralými, nebezpečnými, či jinak rizikovými protokoly. Zejména nesmí být použity protokoly přenášející data neautentizovaně či nešifrovaně. Použití protokolů Telnet, Server </w:t>
      </w:r>
      <w:proofErr w:type="spellStart"/>
      <w:r w:rsidRPr="00B204AE">
        <w:rPr>
          <w:rFonts w:ascii="Calibri" w:eastAsia="Calibri" w:hAnsi="Calibri" w:cs="Calibri"/>
          <w:lang w:bidi="en-US"/>
        </w:rPr>
        <w:t>Message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B204AE">
        <w:rPr>
          <w:rFonts w:ascii="Calibri" w:eastAsia="Calibri" w:hAnsi="Calibri" w:cs="Calibri"/>
          <w:lang w:bidi="en-US"/>
        </w:rPr>
        <w:t>Block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(SMB, Samba, CIFS, Microsoft </w:t>
      </w:r>
      <w:proofErr w:type="spellStart"/>
      <w:r w:rsidRPr="00B204AE">
        <w:rPr>
          <w:rFonts w:ascii="Calibri" w:eastAsia="Calibri" w:hAnsi="Calibri" w:cs="Calibri"/>
          <w:lang w:bidi="en-US"/>
        </w:rPr>
        <w:t>file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B204AE">
        <w:rPr>
          <w:rFonts w:ascii="Calibri" w:eastAsia="Calibri" w:hAnsi="Calibri" w:cs="Calibri"/>
          <w:lang w:bidi="en-US"/>
        </w:rPr>
        <w:t>sharing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, NTLM) a podobně je nepřípustné. Přenosy (“sdílení”) souborů lze řešit kupříkladu pomocí </w:t>
      </w:r>
      <w:proofErr w:type="spellStart"/>
      <w:r w:rsidRPr="00B204AE">
        <w:rPr>
          <w:rFonts w:ascii="Calibri" w:eastAsia="Calibri" w:hAnsi="Calibri" w:cs="Calibri"/>
          <w:lang w:bidi="en-US"/>
        </w:rPr>
        <w:t>OpenSSH</w:t>
      </w:r>
      <w:proofErr w:type="spellEnd"/>
      <w:r w:rsidRPr="00B204AE">
        <w:rPr>
          <w:rFonts w:ascii="Calibri" w:eastAsia="Calibri" w:hAnsi="Calibri" w:cs="Calibri"/>
          <w:lang w:bidi="en-US"/>
        </w:rPr>
        <w:t>, který je standardní součástí MS Windows.</w:t>
      </w:r>
    </w:p>
    <w:p w14:paraId="11F22935" w14:textId="77777777" w:rsidR="00B542D8" w:rsidRDefault="00B542D8" w:rsidP="00B542D8">
      <w:pPr>
        <w:jc w:val="both"/>
        <w:rPr>
          <w:rFonts w:ascii="Calibri" w:hAnsi="Calibri" w:cs="Calibri"/>
        </w:rPr>
      </w:pPr>
    </w:p>
    <w:p w14:paraId="12239C8A" w14:textId="77777777" w:rsidR="00B542D8" w:rsidRDefault="00B542D8" w:rsidP="00B542D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součástí dodávky počítač (PC)</w:t>
      </w:r>
    </w:p>
    <w:p w14:paraId="7B391C24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Musí být </w:t>
      </w:r>
      <w:r>
        <w:rPr>
          <w:rFonts w:ascii="Calibri" w:eastAsia="Calibri" w:hAnsi="Calibri" w:cs="Calibri"/>
          <w:lang w:bidi="en-US"/>
        </w:rPr>
        <w:t xml:space="preserve">minimálně 5 pracovních dní </w:t>
      </w:r>
      <w:r w:rsidRPr="00B204AE">
        <w:rPr>
          <w:rFonts w:ascii="Calibri" w:eastAsia="Calibri" w:hAnsi="Calibri" w:cs="Calibri"/>
          <w:lang w:bidi="en-US"/>
        </w:rPr>
        <w:t>předem domluvena jeho instalace s pracovníky OIT</w:t>
      </w:r>
      <w:r>
        <w:rPr>
          <w:rFonts w:ascii="Calibri" w:eastAsia="Calibri" w:hAnsi="Calibri" w:cs="Calibri"/>
          <w:lang w:bidi="en-US"/>
        </w:rPr>
        <w:t>.</w:t>
      </w:r>
    </w:p>
    <w:p w14:paraId="58F99241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lastRenderedPageBreak/>
        <w:t>Veškerý instalovaný SW musí být legální, plně zalicencován a licence převedena na Zadavatele</w:t>
      </w:r>
      <w:r>
        <w:rPr>
          <w:rFonts w:ascii="Calibri" w:eastAsia="Calibri" w:hAnsi="Calibri" w:cs="Calibri"/>
          <w:lang w:bidi="en-US"/>
        </w:rPr>
        <w:t>.</w:t>
      </w:r>
    </w:p>
    <w:p w14:paraId="644DB759" w14:textId="77777777" w:rsidR="00B542D8" w:rsidRDefault="00B542D8" w:rsidP="00B542D8">
      <w:pPr>
        <w:jc w:val="both"/>
        <w:rPr>
          <w:rFonts w:ascii="Calibri" w:hAnsi="Calibri" w:cs="Calibri"/>
          <w:u w:val="single"/>
        </w:rPr>
      </w:pPr>
    </w:p>
    <w:p w14:paraId="147FAC13" w14:textId="77777777" w:rsidR="00B542D8" w:rsidRDefault="00B542D8" w:rsidP="00B542D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součástí dodávky SW</w:t>
      </w:r>
    </w:p>
    <w:p w14:paraId="00F9071C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Dodavatel doloží legálnost veškerého instalovaného SW.</w:t>
      </w:r>
    </w:p>
    <w:p w14:paraId="6C92651B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V předávacím protokolu technologie bude instalovaný SW uveden, budou přiloženy potřebné licenční doklady</w:t>
      </w:r>
      <w:r>
        <w:rPr>
          <w:rFonts w:ascii="Calibri" w:eastAsia="Calibri" w:hAnsi="Calibri" w:cs="Calibri"/>
          <w:lang w:bidi="en-US"/>
        </w:rPr>
        <w:t>.</w:t>
      </w:r>
    </w:p>
    <w:p w14:paraId="473DB5E5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Dodavatel si na svoje náklady zajistí veškerý HW, potřebný pro běh tohoto SW. </w:t>
      </w:r>
    </w:p>
    <w:p w14:paraId="2577E597" w14:textId="77777777" w:rsidR="00B542D8" w:rsidRDefault="00B542D8" w:rsidP="00B542D8">
      <w:pPr>
        <w:jc w:val="both"/>
        <w:rPr>
          <w:rFonts w:ascii="Calibri" w:hAnsi="Calibri" w:cs="Calibri"/>
          <w:b/>
          <w:bCs/>
        </w:rPr>
      </w:pPr>
    </w:p>
    <w:p w14:paraId="03AF8BB4" w14:textId="77777777" w:rsidR="00B542D8" w:rsidRDefault="00B542D8" w:rsidP="00B542D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dodavatelem požadováno připojení k počítačové síti LAN Nemocnice Znojmo</w:t>
      </w:r>
    </w:p>
    <w:p w14:paraId="008F3490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Dodavateli bude poskytnuta 1x zásuvka LAN RJ-45, připojení technologie je možné metalickým kabelem, standard 100BASE-TX nebo 1000BASE-T. Jiné připojení možné po předchozí dohodě.</w:t>
      </w:r>
    </w:p>
    <w:p w14:paraId="10E02652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V případě instalace v izolované el. soustavě může být požadované připojení optické.</w:t>
      </w:r>
    </w:p>
    <w:p w14:paraId="022ADF80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Pokud nebude v místě instalace zásuvka k dispozici, bude realizována pracovníky zadavatele po předchozí dohodě s dodavatelem, případně vzniklé náklady hradí dodavatel. </w:t>
      </w:r>
    </w:p>
    <w:p w14:paraId="41CCE9F5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Jiné připojení možné po předchozí dohodě.</w:t>
      </w:r>
    </w:p>
    <w:p w14:paraId="6D3843E4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Zařízení dostane jednu vnitřní neveřejnou pevnou IP adresu nebo jednu neveřejnou dynamickou (DHCP) adresu</w:t>
      </w:r>
      <w:r>
        <w:rPr>
          <w:rFonts w:ascii="Calibri" w:eastAsia="Calibri" w:hAnsi="Calibri" w:cs="Calibri"/>
          <w:lang w:bidi="en-US"/>
        </w:rPr>
        <w:t>.</w:t>
      </w:r>
    </w:p>
    <w:p w14:paraId="22917FDC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Komunikace výhradně protokolem IPv4, protokol IPv6 musí být vypnut</w:t>
      </w:r>
      <w:r>
        <w:rPr>
          <w:rFonts w:ascii="Calibri" w:eastAsia="Calibri" w:hAnsi="Calibri" w:cs="Calibri"/>
          <w:lang w:bidi="en-US"/>
        </w:rPr>
        <w:t>.</w:t>
      </w:r>
    </w:p>
    <w:p w14:paraId="42E2E27B" w14:textId="77777777" w:rsidR="00B542D8" w:rsidRDefault="00B542D8" w:rsidP="00B542D8">
      <w:pPr>
        <w:jc w:val="both"/>
        <w:rPr>
          <w:rFonts w:ascii="Calibri" w:hAnsi="Calibri" w:cs="Calibri"/>
        </w:rPr>
      </w:pPr>
    </w:p>
    <w:p w14:paraId="15174E12" w14:textId="77777777" w:rsidR="00B542D8" w:rsidRDefault="00B542D8" w:rsidP="00B542D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požadováno připojení k Informačním systémům nemocnice</w:t>
      </w:r>
    </w:p>
    <w:p w14:paraId="3A1AC3A8" w14:textId="77777777" w:rsidR="00B542D8" w:rsidRPr="000346B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0346BE">
        <w:rPr>
          <w:rFonts w:ascii="Calibri" w:eastAsia="Calibri" w:hAnsi="Calibri" w:cs="Calibri"/>
          <w:lang w:bidi="en-US"/>
        </w:rPr>
        <w:t>Musí být tato skutečnost sdělena pracovníkům OIT minimálně 1 měsíc dopředu z důvodu nutného zajištění vazeb případných dalších dodavatelů (např. komunikační protokol pro laboratoře, úprava NIS, napojení na PACS apod.).</w:t>
      </w:r>
    </w:p>
    <w:p w14:paraId="2FD0E9EF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Musí být splněny podmínky připojení k</w:t>
      </w:r>
      <w:r>
        <w:rPr>
          <w:rFonts w:ascii="Calibri" w:eastAsia="Calibri" w:hAnsi="Calibri" w:cs="Calibri"/>
          <w:lang w:bidi="en-US"/>
        </w:rPr>
        <w:t> </w:t>
      </w:r>
      <w:r w:rsidRPr="00B204AE">
        <w:rPr>
          <w:rFonts w:ascii="Calibri" w:eastAsia="Calibri" w:hAnsi="Calibri" w:cs="Calibri"/>
          <w:lang w:bidi="en-US"/>
        </w:rPr>
        <w:t>LAN</w:t>
      </w:r>
      <w:r>
        <w:rPr>
          <w:rFonts w:ascii="Calibri" w:eastAsia="Calibri" w:hAnsi="Calibri" w:cs="Calibri"/>
          <w:lang w:bidi="en-US"/>
        </w:rPr>
        <w:t>.</w:t>
      </w:r>
    </w:p>
    <w:p w14:paraId="7CAB50DC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Náklady na připojení (licence, ovladače </w:t>
      </w:r>
      <w:proofErr w:type="spellStart"/>
      <w:r w:rsidRPr="00B204AE">
        <w:rPr>
          <w:rFonts w:ascii="Calibri" w:eastAsia="Calibri" w:hAnsi="Calibri" w:cs="Calibri"/>
          <w:lang w:bidi="en-US"/>
        </w:rPr>
        <w:t>atp</w:t>
      </w:r>
      <w:proofErr w:type="spellEnd"/>
      <w:r w:rsidRPr="00B204AE">
        <w:rPr>
          <w:rFonts w:ascii="Calibri" w:eastAsia="Calibri" w:hAnsi="Calibri" w:cs="Calibri"/>
          <w:lang w:bidi="en-US"/>
        </w:rPr>
        <w:t>) nese v plné výši dodavatel</w:t>
      </w:r>
      <w:r>
        <w:rPr>
          <w:rFonts w:ascii="Calibri" w:eastAsia="Calibri" w:hAnsi="Calibri" w:cs="Calibri"/>
          <w:lang w:bidi="en-US"/>
        </w:rPr>
        <w:t>.</w:t>
      </w:r>
    </w:p>
    <w:p w14:paraId="5349FC5C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Vícenáklady, jež by vznikly na straně Zadavatele (např. nutná úprava NIS, LIS či PACS) hradí Dodavatel. Jedná se například o poplatek za připojení technologie do </w:t>
      </w:r>
      <w:proofErr w:type="spellStart"/>
      <w:r w:rsidRPr="00B204AE">
        <w:rPr>
          <w:rFonts w:ascii="Calibri" w:eastAsia="Calibri" w:hAnsi="Calibri" w:cs="Calibri"/>
          <w:lang w:bidi="en-US"/>
        </w:rPr>
        <w:t>informačího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systému, licence SW, potřebný HW, práce a podobně.</w:t>
      </w:r>
    </w:p>
    <w:p w14:paraId="586339C0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Technologie, </w:t>
      </w:r>
      <w:proofErr w:type="spellStart"/>
      <w:r w:rsidRPr="00B204AE">
        <w:rPr>
          <w:rFonts w:ascii="Calibri" w:eastAsia="Calibri" w:hAnsi="Calibri" w:cs="Calibri"/>
          <w:lang w:bidi="en-US"/>
        </w:rPr>
        <w:t>respektivě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k PACS připojované zařízení, musí splňovat normu DICOM v3</w:t>
      </w:r>
      <w:r>
        <w:rPr>
          <w:rFonts w:ascii="Calibri" w:eastAsia="Calibri" w:hAnsi="Calibri" w:cs="Calibri"/>
          <w:lang w:bidi="en-US"/>
        </w:rPr>
        <w:t>.</w:t>
      </w:r>
    </w:p>
    <w:p w14:paraId="71AB5CE7" w14:textId="77777777" w:rsidR="00B542D8" w:rsidRDefault="00B542D8" w:rsidP="00B542D8">
      <w:pPr>
        <w:jc w:val="both"/>
        <w:rPr>
          <w:rFonts w:ascii="Calibri" w:hAnsi="Calibri" w:cs="Calibri"/>
        </w:rPr>
      </w:pPr>
    </w:p>
    <w:p w14:paraId="5618082C" w14:textId="77777777" w:rsidR="00B542D8" w:rsidRDefault="00B542D8" w:rsidP="00B542D8">
      <w:pPr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dodavatelem požadována vzdálená správa, musí tato splňovat následující pravidla:</w:t>
      </w:r>
    </w:p>
    <w:p w14:paraId="72FE5C5E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Zařízení nebude mít přístup na internet, s výjimkou umožnění vzdálené správy přes </w:t>
      </w:r>
      <w:proofErr w:type="gramStart"/>
      <w:r w:rsidRPr="00B204AE">
        <w:rPr>
          <w:rFonts w:ascii="Calibri" w:eastAsia="Calibri" w:hAnsi="Calibri" w:cs="Calibri"/>
          <w:lang w:bidi="en-US"/>
        </w:rPr>
        <w:t>Internet</w:t>
      </w:r>
      <w:proofErr w:type="gramEnd"/>
      <w:r>
        <w:rPr>
          <w:rFonts w:ascii="Calibri" w:eastAsia="Calibri" w:hAnsi="Calibri" w:cs="Calibri"/>
          <w:lang w:bidi="en-US"/>
        </w:rPr>
        <w:t>.</w:t>
      </w:r>
    </w:p>
    <w:p w14:paraId="232A80EE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Vzdálená správa bude umožněna jen takovým způsobem, kdy TCP/IP spojení navazuje zařízení z vnitřní sítě Zadavatele (dále jen LAN)</w:t>
      </w:r>
      <w:r>
        <w:rPr>
          <w:rFonts w:ascii="Calibri" w:eastAsia="Calibri" w:hAnsi="Calibri" w:cs="Calibri"/>
          <w:lang w:bidi="en-US"/>
        </w:rPr>
        <w:t>.</w:t>
      </w:r>
    </w:p>
    <w:p w14:paraId="30A0EAD3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Navázání spojení bude z LAN umožněno jen na vybranou cílovou IP adresu, případně množinu adres (seznam adres dodá Dodavatel)</w:t>
      </w:r>
      <w:r>
        <w:rPr>
          <w:rFonts w:ascii="Calibri" w:eastAsia="Calibri" w:hAnsi="Calibri" w:cs="Calibri"/>
          <w:lang w:bidi="en-US"/>
        </w:rPr>
        <w:t>.</w:t>
      </w:r>
    </w:p>
    <w:p w14:paraId="285D7B9E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Navázání spojení bude z LAN umožněno jen na vybraný cílový port, případně množinu portů (seznam portů dodá Dodavatel)</w:t>
      </w:r>
      <w:r>
        <w:rPr>
          <w:rFonts w:ascii="Calibri" w:eastAsia="Calibri" w:hAnsi="Calibri" w:cs="Calibri"/>
          <w:lang w:bidi="en-US"/>
        </w:rPr>
        <w:t>.</w:t>
      </w:r>
    </w:p>
    <w:p w14:paraId="255C2382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Přístup na vzdálenou správu z LAN bude umožněn jen z vybrané IP adresy nebo konkrétní množiny adres</w:t>
      </w:r>
      <w:r>
        <w:rPr>
          <w:rFonts w:ascii="Calibri" w:eastAsia="Calibri" w:hAnsi="Calibri" w:cs="Calibri"/>
          <w:lang w:bidi="en-US"/>
        </w:rPr>
        <w:t>.</w:t>
      </w:r>
    </w:p>
    <w:p w14:paraId="5ACAF42A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V případě použití systému </w:t>
      </w:r>
      <w:proofErr w:type="spellStart"/>
      <w:r w:rsidRPr="00B204AE">
        <w:rPr>
          <w:rFonts w:ascii="Calibri" w:eastAsia="Calibri" w:hAnsi="Calibri" w:cs="Calibri"/>
          <w:lang w:bidi="en-US"/>
        </w:rPr>
        <w:t>TeamViewer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je dodavatel povinen použít dvoufázovou autentizaci</w:t>
      </w:r>
      <w:r>
        <w:rPr>
          <w:rFonts w:ascii="Calibri" w:eastAsia="Calibri" w:hAnsi="Calibri" w:cs="Calibri"/>
          <w:lang w:bidi="en-US"/>
        </w:rPr>
        <w:t>.</w:t>
      </w:r>
    </w:p>
    <w:p w14:paraId="3705C31A" w14:textId="77777777" w:rsidR="00B542D8" w:rsidRPr="00B204AE" w:rsidRDefault="00B542D8" w:rsidP="00B542D8">
      <w:pPr>
        <w:pStyle w:val="Odstavecseseznamem"/>
        <w:numPr>
          <w:ilvl w:val="0"/>
          <w:numId w:val="7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Dodavatel je při používání vzdálené správy dodržovat pravidla GDPR, obecně platná pravidla kyberbezpečnosti a doporučení NÚKIB.</w:t>
      </w:r>
    </w:p>
    <w:p w14:paraId="731AA019" w14:textId="77777777" w:rsidR="00B542D8" w:rsidRPr="006F3305" w:rsidRDefault="00B542D8" w:rsidP="00B542D8">
      <w:pPr>
        <w:tabs>
          <w:tab w:val="left" w:pos="5983"/>
        </w:tabs>
        <w:rPr>
          <w:rFonts w:cstheme="minorHAnsi"/>
          <w:spacing w:val="-2"/>
        </w:rPr>
      </w:pPr>
    </w:p>
    <w:sectPr w:rsidR="00B542D8" w:rsidRPr="006F3305" w:rsidSect="00C078FB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84CA7" w14:textId="77777777" w:rsidR="00B8263A" w:rsidRDefault="00B8263A">
      <w:pPr>
        <w:spacing w:after="0" w:line="240" w:lineRule="auto"/>
      </w:pPr>
      <w:r>
        <w:separator/>
      </w:r>
    </w:p>
  </w:endnote>
  <w:endnote w:type="continuationSeparator" w:id="0">
    <w:p w14:paraId="11A24CAD" w14:textId="77777777" w:rsidR="00B8263A" w:rsidRDefault="00B82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th-Unicode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E26DB" w14:textId="0E99E0FC" w:rsidR="00E00885" w:rsidRPr="00C078FB" w:rsidRDefault="00C078FB">
    <w:pPr>
      <w:pStyle w:val="Zpat"/>
      <w:rPr>
        <w:rFonts w:ascii="Garamond" w:hAnsi="Garamond"/>
        <w:i/>
        <w:iCs/>
      </w:rPr>
    </w:pPr>
    <w:r w:rsidRPr="00C078FB">
      <w:rPr>
        <w:rFonts w:ascii="Garamond" w:hAnsi="Garamond"/>
        <w:i/>
        <w:iCs/>
      </w:rPr>
      <w:t>VZMR 1/24 Software pro řízení dokumentace a správnou laboratorní praxi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2551A" w14:textId="77777777" w:rsidR="00B8263A" w:rsidRDefault="00B8263A">
      <w:pPr>
        <w:spacing w:after="0" w:line="240" w:lineRule="auto"/>
      </w:pPr>
      <w:r>
        <w:separator/>
      </w:r>
    </w:p>
  </w:footnote>
  <w:footnote w:type="continuationSeparator" w:id="0">
    <w:p w14:paraId="616DC624" w14:textId="77777777" w:rsidR="00B8263A" w:rsidRDefault="00B82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4192E"/>
    <w:multiLevelType w:val="multilevel"/>
    <w:tmpl w:val="EFF4FFC4"/>
    <w:lvl w:ilvl="0">
      <w:start w:val="1"/>
      <w:numFmt w:val="lowerLetter"/>
      <w:lvlText w:val="%1)"/>
      <w:lvlJc w:val="left"/>
      <w:pPr>
        <w:ind w:left="567"/>
      </w:pPr>
      <w:rPr>
        <w:rFonts w:ascii="Calibri" w:eastAsia="SimSun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220315"/>
    <w:multiLevelType w:val="hybridMultilevel"/>
    <w:tmpl w:val="FBD6DB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A823F0"/>
    <w:multiLevelType w:val="hybridMultilevel"/>
    <w:tmpl w:val="C98C9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783F30"/>
    <w:multiLevelType w:val="hybridMultilevel"/>
    <w:tmpl w:val="AF6EB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46E"/>
    <w:multiLevelType w:val="hybridMultilevel"/>
    <w:tmpl w:val="C0DA088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2494446"/>
    <w:multiLevelType w:val="hybridMultilevel"/>
    <w:tmpl w:val="F9D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046AA7"/>
    <w:multiLevelType w:val="hybridMultilevel"/>
    <w:tmpl w:val="D9122EEA"/>
    <w:lvl w:ilvl="0" w:tplc="83F035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560932">
    <w:abstractNumId w:val="0"/>
  </w:num>
  <w:num w:numId="2" w16cid:durableId="1265459429">
    <w:abstractNumId w:val="6"/>
  </w:num>
  <w:num w:numId="3" w16cid:durableId="1243955267">
    <w:abstractNumId w:val="4"/>
  </w:num>
  <w:num w:numId="4" w16cid:durableId="170143208">
    <w:abstractNumId w:val="2"/>
  </w:num>
  <w:num w:numId="5" w16cid:durableId="936250963">
    <w:abstractNumId w:val="5"/>
  </w:num>
  <w:num w:numId="6" w16cid:durableId="1850410725">
    <w:abstractNumId w:val="3"/>
  </w:num>
  <w:num w:numId="7" w16cid:durableId="656766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D8"/>
    <w:rsid w:val="00030B29"/>
    <w:rsid w:val="00070403"/>
    <w:rsid w:val="000B5803"/>
    <w:rsid w:val="000D09B3"/>
    <w:rsid w:val="000E0E1E"/>
    <w:rsid w:val="001149A5"/>
    <w:rsid w:val="001206D8"/>
    <w:rsid w:val="00167557"/>
    <w:rsid w:val="00184529"/>
    <w:rsid w:val="001B13B0"/>
    <w:rsid w:val="001B4ED5"/>
    <w:rsid w:val="001C78E8"/>
    <w:rsid w:val="00247FC4"/>
    <w:rsid w:val="002548DA"/>
    <w:rsid w:val="00274456"/>
    <w:rsid w:val="00296B41"/>
    <w:rsid w:val="002A1FA4"/>
    <w:rsid w:val="002C1D98"/>
    <w:rsid w:val="00312D75"/>
    <w:rsid w:val="003656EE"/>
    <w:rsid w:val="003C4B39"/>
    <w:rsid w:val="003D2AE2"/>
    <w:rsid w:val="0046526F"/>
    <w:rsid w:val="00477579"/>
    <w:rsid w:val="004D1554"/>
    <w:rsid w:val="004F3797"/>
    <w:rsid w:val="0050411A"/>
    <w:rsid w:val="005439BD"/>
    <w:rsid w:val="00597CB2"/>
    <w:rsid w:val="00603BFD"/>
    <w:rsid w:val="00655F9F"/>
    <w:rsid w:val="00680B5C"/>
    <w:rsid w:val="006A6E8C"/>
    <w:rsid w:val="006B032C"/>
    <w:rsid w:val="006B52D5"/>
    <w:rsid w:val="006F3E66"/>
    <w:rsid w:val="006F62E2"/>
    <w:rsid w:val="0070110F"/>
    <w:rsid w:val="007210B5"/>
    <w:rsid w:val="00734E3D"/>
    <w:rsid w:val="007637A6"/>
    <w:rsid w:val="0078674A"/>
    <w:rsid w:val="00794A79"/>
    <w:rsid w:val="007A48A6"/>
    <w:rsid w:val="007B1C93"/>
    <w:rsid w:val="007B3D5E"/>
    <w:rsid w:val="007E40BC"/>
    <w:rsid w:val="007F26F2"/>
    <w:rsid w:val="008571C2"/>
    <w:rsid w:val="00862CB2"/>
    <w:rsid w:val="008A7BD5"/>
    <w:rsid w:val="008E613B"/>
    <w:rsid w:val="008F7130"/>
    <w:rsid w:val="00963DE8"/>
    <w:rsid w:val="00990640"/>
    <w:rsid w:val="009B28E5"/>
    <w:rsid w:val="009C2C4A"/>
    <w:rsid w:val="009D0C70"/>
    <w:rsid w:val="009D6AA3"/>
    <w:rsid w:val="009F4844"/>
    <w:rsid w:val="00A30E32"/>
    <w:rsid w:val="00AA6E60"/>
    <w:rsid w:val="00AC2414"/>
    <w:rsid w:val="00AC32C3"/>
    <w:rsid w:val="00AF2BA4"/>
    <w:rsid w:val="00B03AE1"/>
    <w:rsid w:val="00B05088"/>
    <w:rsid w:val="00B36969"/>
    <w:rsid w:val="00B40DD6"/>
    <w:rsid w:val="00B4259E"/>
    <w:rsid w:val="00B44B2B"/>
    <w:rsid w:val="00B512AE"/>
    <w:rsid w:val="00B542D8"/>
    <w:rsid w:val="00B73F7D"/>
    <w:rsid w:val="00B810DF"/>
    <w:rsid w:val="00B8263A"/>
    <w:rsid w:val="00B86CCA"/>
    <w:rsid w:val="00B96D5F"/>
    <w:rsid w:val="00BC1641"/>
    <w:rsid w:val="00BC7A93"/>
    <w:rsid w:val="00BE3750"/>
    <w:rsid w:val="00BE6D23"/>
    <w:rsid w:val="00C078FB"/>
    <w:rsid w:val="00C633E2"/>
    <w:rsid w:val="00C954F9"/>
    <w:rsid w:val="00CB6475"/>
    <w:rsid w:val="00CC27A8"/>
    <w:rsid w:val="00D52693"/>
    <w:rsid w:val="00D64E60"/>
    <w:rsid w:val="00D84C84"/>
    <w:rsid w:val="00DA2D25"/>
    <w:rsid w:val="00E00885"/>
    <w:rsid w:val="00E12619"/>
    <w:rsid w:val="00E14EC0"/>
    <w:rsid w:val="00E2329D"/>
    <w:rsid w:val="00EA241D"/>
    <w:rsid w:val="00EA74E6"/>
    <w:rsid w:val="00EB3710"/>
    <w:rsid w:val="00EB69AA"/>
    <w:rsid w:val="00EC4EA3"/>
    <w:rsid w:val="00ED36C3"/>
    <w:rsid w:val="00EF0B16"/>
    <w:rsid w:val="00EF721F"/>
    <w:rsid w:val="00F3106A"/>
    <w:rsid w:val="00F37ACB"/>
    <w:rsid w:val="00F52A2C"/>
    <w:rsid w:val="00FB3ED8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5EB65"/>
  <w15:chartTrackingRefBased/>
  <w15:docId w15:val="{98F4D89C-4C78-4FD2-833D-A6E09D1A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0110F"/>
    <w:pPr>
      <w:ind w:left="720"/>
      <w:contextualSpacing/>
    </w:pPr>
  </w:style>
  <w:style w:type="table" w:customStyle="1" w:styleId="TableGrid">
    <w:name w:val="TableGrid"/>
    <w:rsid w:val="006B52D5"/>
    <w:pPr>
      <w:spacing w:after="0" w:line="240" w:lineRule="auto"/>
    </w:pPr>
    <w:rPr>
      <w:rFonts w:eastAsiaTheme="minorEastAsia"/>
      <w:kern w:val="0"/>
      <w:lang w:eastAsia="cs-CZ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B4259E"/>
    <w:rPr>
      <w:color w:val="0563C1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B4259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kern w:val="0"/>
      <w:lang w:eastAsia="cs-CZ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B4259E"/>
    <w:rPr>
      <w:rFonts w:ascii="Calibri" w:eastAsia="Calibri" w:hAnsi="Calibri" w:cs="Calibri"/>
      <w:color w:val="000000"/>
      <w:kern w:val="0"/>
      <w:lang w:eastAsia="cs-CZ"/>
      <w14:ligatures w14:val="none"/>
    </w:rPr>
  </w:style>
  <w:style w:type="table" w:styleId="Mkatabulky">
    <w:name w:val="Table Grid"/>
    <w:basedOn w:val="Normlntabulka"/>
    <w:uiPriority w:val="39"/>
    <w:rsid w:val="00B4259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425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4259E"/>
    <w:pPr>
      <w:spacing w:line="240" w:lineRule="auto"/>
    </w:pPr>
    <w:rPr>
      <w:rFonts w:ascii="Calibri" w:eastAsia="Calibri" w:hAnsi="Calibri" w:cs="Calibri"/>
      <w:color w:val="000000"/>
      <w:kern w:val="0"/>
      <w:sz w:val="20"/>
      <w:szCs w:val="20"/>
      <w:lang w:eastAsia="cs-CZ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4259E"/>
    <w:rPr>
      <w:rFonts w:ascii="Calibri" w:eastAsia="Calibri" w:hAnsi="Calibri" w:cs="Calibri"/>
      <w:color w:val="000000"/>
      <w:kern w:val="0"/>
      <w:sz w:val="20"/>
      <w:szCs w:val="20"/>
      <w:lang w:eastAsia="cs-CZ"/>
      <w14:ligatures w14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0D09B3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rsid w:val="001C78E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ACB"/>
    <w:rPr>
      <w:rFonts w:asciiTheme="minorHAnsi" w:eastAsiaTheme="minorHAnsi" w:hAnsiTheme="minorHAnsi" w:cstheme="minorBidi"/>
      <w:b/>
      <w:bCs/>
      <w:color w:val="auto"/>
      <w:kern w:val="2"/>
      <w:lang w:eastAsia="en-US"/>
      <w14:ligatures w14:val="standardContextu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ACB"/>
    <w:rPr>
      <w:rFonts w:ascii="Calibri" w:eastAsia="Calibri" w:hAnsi="Calibri" w:cs="Calibri"/>
      <w:b/>
      <w:bCs/>
      <w:color w:val="000000"/>
      <w:kern w:val="0"/>
      <w:sz w:val="20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C07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78FB"/>
  </w:style>
  <w:style w:type="paragraph" w:styleId="Revize">
    <w:name w:val="Revision"/>
    <w:hidden/>
    <w:uiPriority w:val="99"/>
    <w:semiHidden/>
    <w:rsid w:val="00EA24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aktury@nemz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4B9B6-6D07-4B63-AB9C-7923F075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2828</Words>
  <Characters>16692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Kašpar, Mgr.</dc:creator>
  <cp:keywords/>
  <dc:description/>
  <cp:lastModifiedBy>Jiřina Bílková</cp:lastModifiedBy>
  <cp:revision>4</cp:revision>
  <cp:lastPrinted>2024-09-10T10:08:00Z</cp:lastPrinted>
  <dcterms:created xsi:type="dcterms:W3CDTF">2024-10-03T11:40:00Z</dcterms:created>
  <dcterms:modified xsi:type="dcterms:W3CDTF">2024-10-04T06:47:00Z</dcterms:modified>
</cp:coreProperties>
</file>