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729C" w14:textId="3F551E16" w:rsidR="00DA74D4" w:rsidRPr="00AC7216" w:rsidRDefault="00DA74D4" w:rsidP="00513A4B">
      <w:pPr>
        <w:spacing w:line="360" w:lineRule="auto"/>
        <w:jc w:val="center"/>
        <w:rPr>
          <w:rFonts w:ascii="Ubuntu" w:hAnsi="Ubuntu" w:cs="Verdana"/>
          <w:b/>
          <w:bCs/>
          <w:sz w:val="40"/>
          <w:szCs w:val="40"/>
        </w:rPr>
      </w:pPr>
      <w:bookmarkStart w:id="0" w:name="Příloha5"/>
      <w:r w:rsidRPr="00AC7216">
        <w:rPr>
          <w:rFonts w:ascii="Ubuntu" w:hAnsi="Ubuntu" w:cs="Verdana"/>
          <w:b/>
          <w:bCs/>
          <w:sz w:val="40"/>
          <w:szCs w:val="40"/>
        </w:rPr>
        <w:t xml:space="preserve">Příloha </w:t>
      </w:r>
      <w:r w:rsidR="00BF08D9">
        <w:rPr>
          <w:rFonts w:ascii="Ubuntu" w:hAnsi="Ubuntu" w:cs="Verdana"/>
          <w:b/>
          <w:bCs/>
          <w:sz w:val="40"/>
          <w:szCs w:val="40"/>
        </w:rPr>
        <w:t>3</w:t>
      </w:r>
    </w:p>
    <w:bookmarkEnd w:id="0"/>
    <w:p w14:paraId="00FF9A98" w14:textId="1E6EB5FE" w:rsidR="00DA74D4" w:rsidRDefault="009E5CD7" w:rsidP="00695FDC">
      <w:pPr>
        <w:spacing w:line="360" w:lineRule="auto"/>
        <w:ind w:right="-81"/>
        <w:jc w:val="center"/>
        <w:rPr>
          <w:rFonts w:ascii="Ubuntu" w:hAnsi="Ubuntu" w:cs="Verdana"/>
          <w:b/>
          <w:bCs/>
          <w:color w:val="00A0DE"/>
          <w:sz w:val="56"/>
          <w:szCs w:val="56"/>
        </w:rPr>
      </w:pPr>
      <w:r w:rsidRPr="4072AD74">
        <w:rPr>
          <w:rFonts w:ascii="Ubuntu" w:hAnsi="Ubuntu" w:cs="Verdana"/>
          <w:b/>
          <w:bCs/>
          <w:color w:val="00A0DE"/>
          <w:sz w:val="56"/>
          <w:szCs w:val="56"/>
        </w:rPr>
        <w:t>Služba exitu</w:t>
      </w:r>
      <w:r w:rsidR="004F16E8" w:rsidRPr="4072AD74">
        <w:rPr>
          <w:rFonts w:ascii="Ubuntu" w:hAnsi="Ubuntu" w:cs="Verdana"/>
          <w:b/>
          <w:bCs/>
          <w:color w:val="00A0DE"/>
          <w:sz w:val="56"/>
          <w:szCs w:val="56"/>
        </w:rPr>
        <w:t xml:space="preserve"> </w:t>
      </w:r>
      <w:r w:rsidR="0086643C" w:rsidRPr="4072AD74">
        <w:rPr>
          <w:rFonts w:ascii="Ubuntu" w:hAnsi="Ubuntu" w:cs="Verdana"/>
          <w:b/>
          <w:bCs/>
          <w:color w:val="00A0DE"/>
          <w:sz w:val="56"/>
          <w:szCs w:val="56"/>
        </w:rPr>
        <w:t>Společné datové prostředí</w:t>
      </w:r>
      <w:r w:rsidR="46223CC7" w:rsidRPr="4072AD74">
        <w:rPr>
          <w:rFonts w:ascii="Ubuntu" w:hAnsi="Ubuntu" w:cs="Verdana"/>
          <w:b/>
          <w:bCs/>
          <w:color w:val="00A0DE"/>
          <w:sz w:val="56"/>
          <w:szCs w:val="56"/>
        </w:rPr>
        <w:t xml:space="preserve"> </w:t>
      </w:r>
    </w:p>
    <w:p w14:paraId="260605F5" w14:textId="328F47CC" w:rsidR="00AA3FD3" w:rsidRPr="00B74D6E" w:rsidRDefault="00AA3FD3" w:rsidP="00AA3FD3">
      <w:pPr>
        <w:pStyle w:val="Nadpis1"/>
        <w:rPr>
          <w:rFonts w:ascii="Ubuntu" w:hAnsi="Ubuntu" w:cs="Arial"/>
          <w:color w:val="00B0F0"/>
        </w:rPr>
      </w:pPr>
      <w:r w:rsidRPr="00B74D6E">
        <w:rPr>
          <w:rFonts w:ascii="Ubuntu" w:eastAsia="Times New Roman" w:hAnsi="Ubuntu" w:cs="Verdana"/>
          <w:bCs/>
          <w:color w:val="00A0DE"/>
        </w:rPr>
        <w:t>Úvod</w:t>
      </w:r>
    </w:p>
    <w:p w14:paraId="6FBAD0BA" w14:textId="38A096B5" w:rsidR="00AA3FD3" w:rsidRPr="00B74D6E" w:rsidRDefault="00024CF0" w:rsidP="00B74D6E">
      <w:r>
        <w:rPr>
          <w:rFonts w:ascii="Ubuntu" w:hAnsi="Ubuntu" w:cs="Tahoma"/>
        </w:rPr>
        <w:t xml:space="preserve">Cílem tohoto dokumentu je detailně specifikovat postupy, práva a povinnosti </w:t>
      </w:r>
      <w:r w:rsidR="001613BF">
        <w:rPr>
          <w:rFonts w:ascii="Ubuntu" w:hAnsi="Ubuntu" w:cs="Tahoma"/>
        </w:rPr>
        <w:t xml:space="preserve">pro případ </w:t>
      </w:r>
      <w:r w:rsidR="00DA0B27">
        <w:rPr>
          <w:rFonts w:ascii="Ubuntu" w:hAnsi="Ubuntu" w:cs="Tahoma"/>
        </w:rPr>
        <w:t>ukončení</w:t>
      </w:r>
      <w:r w:rsidR="001613BF">
        <w:rPr>
          <w:rFonts w:ascii="Ubuntu" w:hAnsi="Ubuntu" w:cs="Tahoma"/>
        </w:rPr>
        <w:t xml:space="preserve"> </w:t>
      </w:r>
      <w:r w:rsidR="00DA0B27">
        <w:rPr>
          <w:rFonts w:ascii="Ubuntu" w:hAnsi="Ubuntu" w:cs="Tahoma"/>
        </w:rPr>
        <w:t>S</w:t>
      </w:r>
      <w:r w:rsidR="001613BF">
        <w:rPr>
          <w:rFonts w:ascii="Ubuntu" w:hAnsi="Ubuntu" w:cs="Tahoma"/>
        </w:rPr>
        <w:t xml:space="preserve">mlouvy. </w:t>
      </w:r>
      <w:r w:rsidR="00FE2B24">
        <w:rPr>
          <w:rFonts w:ascii="Ubuntu" w:hAnsi="Ubuntu" w:cs="Tahoma"/>
        </w:rPr>
        <w:t xml:space="preserve">Při dodržení postupu stanoveného tímto dokumentem se minimalizují negativní </w:t>
      </w:r>
      <w:r w:rsidR="008F2CF4">
        <w:rPr>
          <w:rFonts w:ascii="Ubuntu" w:hAnsi="Ubuntu" w:cs="Tahoma"/>
        </w:rPr>
        <w:t>dopady takového kroku na Objednatele.</w:t>
      </w:r>
    </w:p>
    <w:p w14:paraId="1E8B9A36" w14:textId="6EA30C66" w:rsidR="00DA74D4" w:rsidRPr="00B74D6E" w:rsidRDefault="00DA74D4" w:rsidP="00CE1D28">
      <w:pPr>
        <w:pStyle w:val="Nadpis1"/>
        <w:numPr>
          <w:ilvl w:val="0"/>
          <w:numId w:val="1"/>
        </w:numPr>
        <w:ind w:left="432" w:hanging="432"/>
        <w:rPr>
          <w:rFonts w:ascii="Ubuntu" w:hAnsi="Ubuntu" w:cs="Arial"/>
          <w:color w:val="00A0DE"/>
        </w:rPr>
      </w:pPr>
      <w:r w:rsidRPr="00B74D6E">
        <w:rPr>
          <w:rFonts w:ascii="Ubuntu" w:hAnsi="Ubuntu" w:cs="Arial"/>
          <w:color w:val="00A0DE"/>
        </w:rPr>
        <w:t>Služba exitu</w:t>
      </w:r>
      <w:r w:rsidR="000C2EBC" w:rsidRPr="00B74D6E">
        <w:rPr>
          <w:rFonts w:ascii="Ubuntu" w:hAnsi="Ubuntu" w:cs="Arial"/>
          <w:color w:val="00A0DE"/>
        </w:rPr>
        <w:t xml:space="preserve"> </w:t>
      </w:r>
    </w:p>
    <w:p w14:paraId="6CA7C3FC" w14:textId="698044A2" w:rsidR="00DA74D4" w:rsidRPr="005261B9" w:rsidRDefault="00DA74D4">
      <w:pPr>
        <w:numPr>
          <w:ilvl w:val="1"/>
          <w:numId w:val="1"/>
        </w:numPr>
        <w:spacing w:after="120" w:line="276" w:lineRule="auto"/>
        <w:ind w:left="709" w:hanging="709"/>
        <w:jc w:val="both"/>
        <w:rPr>
          <w:rFonts w:ascii="Ubuntu" w:hAnsi="Ubuntu" w:cs="Tahoma"/>
        </w:rPr>
      </w:pPr>
      <w:r w:rsidRPr="005261B9">
        <w:rPr>
          <w:rFonts w:ascii="Ubuntu" w:hAnsi="Ubuntu" w:cs="Tahoma"/>
        </w:rPr>
        <w:t>Službou exitu se rozumí</w:t>
      </w:r>
      <w:r w:rsidR="00914A87" w:rsidRPr="005261B9">
        <w:rPr>
          <w:rFonts w:ascii="Ubuntu" w:hAnsi="Ubuntu" w:cs="Tahoma"/>
        </w:rPr>
        <w:t xml:space="preserve"> poskytování Služ</w:t>
      </w:r>
      <w:r w:rsidR="005261B9" w:rsidRPr="005261B9">
        <w:rPr>
          <w:rFonts w:ascii="Ubuntu" w:hAnsi="Ubuntu" w:cs="Tahoma"/>
        </w:rPr>
        <w:t xml:space="preserve">by ze strany Poskytovatele </w:t>
      </w:r>
      <w:r w:rsidRPr="005261B9">
        <w:rPr>
          <w:rFonts w:ascii="Ubuntu" w:hAnsi="Ubuntu" w:cs="Tahoma"/>
        </w:rPr>
        <w:t>tak, jak je uvedeno níže v </w:t>
      </w:r>
      <w:r w:rsidRPr="00C33E4C">
        <w:rPr>
          <w:rFonts w:ascii="Ubuntu" w:hAnsi="Ubuntu" w:cs="Tahoma"/>
        </w:rPr>
        <w:t>této</w:t>
      </w:r>
      <w:r w:rsidRPr="005261B9">
        <w:rPr>
          <w:rFonts w:ascii="Ubuntu" w:hAnsi="Ubuntu" w:cs="Tahoma"/>
        </w:rPr>
        <w:t xml:space="preserve"> </w:t>
      </w:r>
      <w:r w:rsidR="005261B9">
        <w:rPr>
          <w:rFonts w:ascii="Ubuntu" w:hAnsi="Ubuntu" w:cs="Tahoma"/>
        </w:rPr>
        <w:t>p</w:t>
      </w:r>
      <w:r w:rsidRPr="005261B9">
        <w:rPr>
          <w:rFonts w:ascii="Ubuntu" w:hAnsi="Ubuntu" w:cs="Tahoma"/>
        </w:rPr>
        <w:t>říloze</w:t>
      </w:r>
      <w:r w:rsidR="005F605C">
        <w:rPr>
          <w:rFonts w:ascii="Ubuntu" w:hAnsi="Ubuntu" w:cs="Tahoma"/>
        </w:rPr>
        <w:t>,</w:t>
      </w:r>
      <w:r w:rsidRPr="005261B9">
        <w:rPr>
          <w:rFonts w:ascii="Ubuntu" w:hAnsi="Ubuntu" w:cs="Tahoma"/>
        </w:rPr>
        <w:t xml:space="preserve"> a spočívá zejména </w:t>
      </w:r>
      <w:r w:rsidR="00914A87" w:rsidRPr="005261B9">
        <w:rPr>
          <w:rFonts w:ascii="Ubuntu" w:hAnsi="Ubuntu" w:cs="Tahoma"/>
        </w:rPr>
        <w:t>nikoli však výlučně v</w:t>
      </w:r>
      <w:r w:rsidRPr="005261B9">
        <w:rPr>
          <w:rFonts w:ascii="Ubuntu" w:hAnsi="Ubuntu" w:cs="Tahoma"/>
        </w:rPr>
        <w:t>:</w:t>
      </w:r>
    </w:p>
    <w:p w14:paraId="7B16877D" w14:textId="6D228B30" w:rsidR="00DA74D4" w:rsidRPr="00513A4B" w:rsidRDefault="00DA74D4" w:rsidP="00DA74D4">
      <w:pPr>
        <w:numPr>
          <w:ilvl w:val="2"/>
          <w:numId w:val="1"/>
        </w:numPr>
        <w:spacing w:after="120" w:line="276" w:lineRule="auto"/>
        <w:ind w:left="1418" w:hanging="698"/>
        <w:jc w:val="both"/>
        <w:rPr>
          <w:rFonts w:ascii="Ubuntu" w:hAnsi="Ubuntu"/>
        </w:rPr>
      </w:pPr>
      <w:r w:rsidRPr="00513A4B">
        <w:rPr>
          <w:rFonts w:ascii="Ubuntu" w:hAnsi="Ubuntu"/>
        </w:rPr>
        <w:t xml:space="preserve">poskytnutí veškeré </w:t>
      </w:r>
      <w:r w:rsidR="00D96829">
        <w:rPr>
          <w:rFonts w:ascii="Ubuntu" w:hAnsi="Ubuntu"/>
        </w:rPr>
        <w:t>nezbytné</w:t>
      </w:r>
      <w:r w:rsidR="00D96829" w:rsidRPr="00513A4B">
        <w:rPr>
          <w:rFonts w:ascii="Ubuntu" w:hAnsi="Ubuntu"/>
        </w:rPr>
        <w:t xml:space="preserve"> </w:t>
      </w:r>
      <w:r w:rsidRPr="00513A4B">
        <w:rPr>
          <w:rFonts w:ascii="Ubuntu" w:hAnsi="Ubuntu"/>
        </w:rPr>
        <w:t>součinnosti</w:t>
      </w:r>
      <w:r w:rsidR="00D96829">
        <w:rPr>
          <w:rFonts w:ascii="Ubuntu" w:hAnsi="Ubuntu"/>
        </w:rPr>
        <w:t>,</w:t>
      </w:r>
      <w:r w:rsidR="00825A38">
        <w:rPr>
          <w:rFonts w:ascii="Ubuntu" w:hAnsi="Ubuntu"/>
        </w:rPr>
        <w:t xml:space="preserve"> </w:t>
      </w:r>
      <w:r w:rsidRPr="00513A4B">
        <w:rPr>
          <w:rFonts w:ascii="Ubuntu" w:hAnsi="Ubuntu"/>
        </w:rPr>
        <w:t xml:space="preserve">dokumentace a informací; </w:t>
      </w:r>
    </w:p>
    <w:p w14:paraId="7E876B8F" w14:textId="06F97249" w:rsidR="00825A38" w:rsidRPr="006D2BA3" w:rsidRDefault="00DA74D4" w:rsidP="00DA74D4">
      <w:pPr>
        <w:numPr>
          <w:ilvl w:val="2"/>
          <w:numId w:val="1"/>
        </w:numPr>
        <w:spacing w:after="120" w:line="276" w:lineRule="auto"/>
        <w:ind w:left="1418" w:hanging="698"/>
        <w:jc w:val="both"/>
        <w:rPr>
          <w:rFonts w:ascii="Ubuntu" w:hAnsi="Ubuntu"/>
        </w:rPr>
      </w:pPr>
      <w:r w:rsidRPr="00513A4B">
        <w:rPr>
          <w:rFonts w:ascii="Ubuntu" w:hAnsi="Ubuntu"/>
        </w:rPr>
        <w:t>účast</w:t>
      </w:r>
      <w:r w:rsidR="00586158">
        <w:rPr>
          <w:rFonts w:ascii="Ubuntu" w:hAnsi="Ubuntu"/>
        </w:rPr>
        <w:t>i</w:t>
      </w:r>
      <w:r w:rsidRPr="00513A4B">
        <w:rPr>
          <w:rFonts w:ascii="Ubuntu" w:hAnsi="Ubuntu"/>
        </w:rPr>
        <w:t xml:space="preserve"> </w:t>
      </w:r>
      <w:r w:rsidR="00825A38">
        <w:rPr>
          <w:rFonts w:ascii="Ubuntu" w:hAnsi="Ubuntu"/>
        </w:rPr>
        <w:t>na</w:t>
      </w:r>
      <w:r w:rsidRPr="00513A4B">
        <w:rPr>
          <w:rFonts w:ascii="Ubuntu" w:hAnsi="Ubuntu"/>
        </w:rPr>
        <w:t xml:space="preserve"> jednání s Objednatelem a popřípadě třetími osobami za účelem plynulého a řádného </w:t>
      </w:r>
      <w:r w:rsidR="006D2BA3" w:rsidRPr="00513A4B">
        <w:rPr>
          <w:rFonts w:ascii="Ubuntu" w:hAnsi="Ubuntu" w:cs="Tahoma"/>
        </w:rPr>
        <w:t>převedení/nahrazení všech činností spojených s</w:t>
      </w:r>
      <w:r w:rsidR="006D2BA3">
        <w:rPr>
          <w:rFonts w:ascii="Ubuntu" w:hAnsi="Ubuntu" w:cs="Tahoma"/>
        </w:rPr>
        <w:t> </w:t>
      </w:r>
      <w:r w:rsidR="006D2BA3" w:rsidRPr="00513A4B">
        <w:rPr>
          <w:rFonts w:ascii="Ubuntu" w:hAnsi="Ubuntu" w:cs="Tahoma"/>
        </w:rPr>
        <w:t>dosavadní</w:t>
      </w:r>
      <w:r w:rsidR="006D2BA3">
        <w:rPr>
          <w:rFonts w:ascii="Ubuntu" w:hAnsi="Ubuntu" w:cs="Tahoma"/>
        </w:rPr>
        <w:t xml:space="preserve">m </w:t>
      </w:r>
      <w:r w:rsidR="006D2BA3" w:rsidRPr="00513A4B">
        <w:rPr>
          <w:rFonts w:ascii="Ubuntu" w:hAnsi="Ubuntu" w:cs="Tahoma"/>
        </w:rPr>
        <w:t xml:space="preserve">poskytováním Služeb </w:t>
      </w:r>
      <w:r w:rsidR="00825A38" w:rsidRPr="00513A4B">
        <w:rPr>
          <w:rFonts w:ascii="Ubuntu" w:hAnsi="Ubuntu" w:cs="Tahoma"/>
        </w:rPr>
        <w:t>Poskytovatele</w:t>
      </w:r>
      <w:r w:rsidR="006D2BA3">
        <w:rPr>
          <w:rFonts w:ascii="Ubuntu" w:hAnsi="Ubuntu" w:cs="Tahoma"/>
        </w:rPr>
        <w:t>m</w:t>
      </w:r>
      <w:r w:rsidRPr="00513A4B">
        <w:rPr>
          <w:rFonts w:ascii="Ubuntu" w:hAnsi="Ubuntu" w:cs="Tahoma"/>
        </w:rPr>
        <w:t xml:space="preserve"> nebo </w:t>
      </w:r>
      <w:r w:rsidR="00586158">
        <w:rPr>
          <w:rFonts w:ascii="Ubuntu" w:hAnsi="Ubuntu" w:cs="Tahoma"/>
        </w:rPr>
        <w:t>je</w:t>
      </w:r>
      <w:r w:rsidRPr="00513A4B">
        <w:rPr>
          <w:rFonts w:ascii="Ubuntu" w:hAnsi="Ubuntu" w:cs="Tahoma"/>
        </w:rPr>
        <w:t xml:space="preserve">ho </w:t>
      </w:r>
      <w:r w:rsidR="00586158">
        <w:rPr>
          <w:rFonts w:ascii="Ubuntu" w:hAnsi="Ubuntu" w:cs="Tahoma"/>
        </w:rPr>
        <w:t>pod</w:t>
      </w:r>
      <w:r w:rsidR="00825A38">
        <w:rPr>
          <w:rFonts w:ascii="Ubuntu" w:hAnsi="Ubuntu" w:cs="Tahoma"/>
        </w:rPr>
        <w:t>doda</w:t>
      </w:r>
      <w:r w:rsidRPr="00513A4B">
        <w:rPr>
          <w:rFonts w:ascii="Ubuntu" w:hAnsi="Ubuntu" w:cs="Tahoma"/>
        </w:rPr>
        <w:t>vatele</w:t>
      </w:r>
      <w:r w:rsidR="006D2BA3">
        <w:rPr>
          <w:rFonts w:ascii="Ubuntu" w:hAnsi="Ubuntu" w:cs="Tahoma"/>
        </w:rPr>
        <w:t>m</w:t>
      </w:r>
      <w:r w:rsidR="00825A38">
        <w:rPr>
          <w:rFonts w:ascii="Ubuntu" w:hAnsi="Ubuntu" w:cs="Tahoma"/>
        </w:rPr>
        <w:t>;</w:t>
      </w:r>
    </w:p>
    <w:p w14:paraId="5F169F36" w14:textId="71829249" w:rsidR="006D2BA3" w:rsidRPr="0030436C" w:rsidRDefault="006D2BA3" w:rsidP="00DA74D4">
      <w:pPr>
        <w:numPr>
          <w:ilvl w:val="2"/>
          <w:numId w:val="1"/>
        </w:numPr>
        <w:spacing w:after="120" w:line="276" w:lineRule="auto"/>
        <w:ind w:left="1418" w:hanging="698"/>
        <w:jc w:val="both"/>
        <w:rPr>
          <w:rFonts w:ascii="Ubuntu" w:hAnsi="Ubuntu"/>
        </w:rPr>
      </w:pPr>
      <w:r w:rsidRPr="00513A4B">
        <w:rPr>
          <w:rFonts w:ascii="Ubuntu" w:hAnsi="Ubuntu" w:cs="Tahoma"/>
        </w:rPr>
        <w:t>provedení analýzy a vypracování dokumenta</w:t>
      </w:r>
      <w:r>
        <w:rPr>
          <w:rFonts w:ascii="Ubuntu" w:hAnsi="Ubuntu" w:cs="Tahoma"/>
        </w:rPr>
        <w:t>ce vymezující postup provedení s</w:t>
      </w:r>
      <w:r w:rsidRPr="00513A4B">
        <w:rPr>
          <w:rFonts w:ascii="Ubuntu" w:hAnsi="Ubuntu" w:cs="Tahoma"/>
        </w:rPr>
        <w:t>lužeb exitu (dále jen „</w:t>
      </w:r>
      <w:r w:rsidRPr="00513A4B">
        <w:rPr>
          <w:rFonts w:ascii="Ubuntu" w:hAnsi="Ubuntu" w:cs="Tahoma"/>
          <w:b/>
        </w:rPr>
        <w:t>Exitový plán</w:t>
      </w:r>
      <w:r w:rsidRPr="00513A4B">
        <w:rPr>
          <w:rFonts w:ascii="Ubuntu" w:hAnsi="Ubuntu" w:cs="Tahoma"/>
        </w:rPr>
        <w:t>“)</w:t>
      </w:r>
      <w:r>
        <w:rPr>
          <w:rFonts w:ascii="Ubuntu" w:hAnsi="Ubuntu" w:cs="Tahoma"/>
        </w:rPr>
        <w:t xml:space="preserve">; </w:t>
      </w:r>
    </w:p>
    <w:p w14:paraId="3932E0CC" w14:textId="2AA21CD5" w:rsidR="0030436C" w:rsidRPr="00825A38" w:rsidRDefault="0030436C" w:rsidP="00DA74D4">
      <w:pPr>
        <w:numPr>
          <w:ilvl w:val="2"/>
          <w:numId w:val="1"/>
        </w:numPr>
        <w:spacing w:after="120" w:line="276" w:lineRule="auto"/>
        <w:ind w:left="1418" w:hanging="698"/>
        <w:jc w:val="both"/>
        <w:rPr>
          <w:rFonts w:ascii="Ubuntu" w:hAnsi="Ubuntu"/>
        </w:rPr>
      </w:pPr>
      <w:r w:rsidRPr="00513A4B">
        <w:rPr>
          <w:rFonts w:ascii="Ubuntu" w:hAnsi="Ubuntu" w:cs="Tahoma"/>
        </w:rPr>
        <w:t xml:space="preserve">poskytnutí plnění (součinnost, dokumentace, informace aj.) nezbytných k realizaci Exitového plánu za přiměřeného použití vhodných ustanovení této </w:t>
      </w:r>
      <w:r w:rsidR="00B60923">
        <w:rPr>
          <w:rFonts w:ascii="Ubuntu" w:hAnsi="Ubuntu" w:cs="Tahoma"/>
        </w:rPr>
        <w:t>p</w:t>
      </w:r>
      <w:r w:rsidRPr="00513A4B">
        <w:rPr>
          <w:rFonts w:ascii="Ubuntu" w:hAnsi="Ubuntu" w:cs="Tahoma"/>
        </w:rPr>
        <w:t>řílohy či Smlouvy, a to včetně čištění a exportu dat způsobem umožňujícím jejich vložení do systémů navazujících, a to dle specifikace Objednatele nebo jím pověřené osoby;</w:t>
      </w:r>
    </w:p>
    <w:p w14:paraId="5D10D671" w14:textId="34B38DB7" w:rsidR="0030436C" w:rsidRPr="0030436C" w:rsidRDefault="0030436C" w:rsidP="00DA74D4">
      <w:pPr>
        <w:numPr>
          <w:ilvl w:val="2"/>
          <w:numId w:val="1"/>
        </w:numPr>
        <w:spacing w:after="120" w:line="276" w:lineRule="auto"/>
        <w:ind w:left="1418" w:hanging="698"/>
        <w:jc w:val="both"/>
        <w:rPr>
          <w:rFonts w:ascii="Ubuntu" w:hAnsi="Ubuntu"/>
        </w:rPr>
      </w:pPr>
      <w:r w:rsidRPr="00513A4B">
        <w:rPr>
          <w:rFonts w:ascii="Ubuntu" w:hAnsi="Ubuntu" w:cs="Tahoma"/>
        </w:rPr>
        <w:t>poskytnutí technické dokumentace k informačnímu systému, včetně všech komentářů a připomínek – v případě změny informačního systému bude součástí poskytnuté technické dokumentace dle tohoto ustanovení i veškerá technická dokumentace ke každé změně informačního systému, či bude technická dokumentace nahrazena aktuální, aktualizovanou kompletní technickou dokumentací, obsahující provedené změny informačního systému;</w:t>
      </w:r>
      <w:r>
        <w:rPr>
          <w:rFonts w:ascii="Ubuntu" w:hAnsi="Ubuntu" w:cs="Tahoma"/>
        </w:rPr>
        <w:t xml:space="preserve"> </w:t>
      </w:r>
    </w:p>
    <w:p w14:paraId="3BA2CBAC" w14:textId="2838E7B4" w:rsidR="0030436C" w:rsidRPr="0030436C" w:rsidRDefault="0030436C" w:rsidP="00DA74D4">
      <w:pPr>
        <w:numPr>
          <w:ilvl w:val="2"/>
          <w:numId w:val="1"/>
        </w:numPr>
        <w:spacing w:after="120" w:line="276" w:lineRule="auto"/>
        <w:ind w:left="1418" w:hanging="698"/>
        <w:jc w:val="both"/>
        <w:rPr>
          <w:rFonts w:ascii="Ubuntu" w:hAnsi="Ubuntu"/>
        </w:rPr>
      </w:pPr>
      <w:r w:rsidRPr="00513A4B">
        <w:rPr>
          <w:rFonts w:ascii="Ubuntu" w:hAnsi="Ubuntu" w:cs="Tahoma"/>
        </w:rPr>
        <w:t xml:space="preserve">na základě provedené analýzy zajištění předání všech dat </w:t>
      </w:r>
      <w:r w:rsidRPr="00513A4B">
        <w:rPr>
          <w:rFonts w:ascii="Ubuntu" w:hAnsi="Ubuntu"/>
        </w:rPr>
        <w:t>s vyčerpávajícími popisy</w:t>
      </w:r>
      <w:r w:rsidRPr="00513A4B">
        <w:rPr>
          <w:rFonts w:ascii="Ubuntu" w:hAnsi="Ubuntu" w:cs="Tahoma"/>
        </w:rPr>
        <w:t xml:space="preserve"> Objednateli v předem stanovených formátech včetně všech číselníků a katalogů v datové základně spravované aplikace. Smyslem migrace dat je převést kompletní data z aplikace do </w:t>
      </w:r>
      <w:r w:rsidRPr="00513A4B">
        <w:rPr>
          <w:rFonts w:ascii="Ubuntu" w:hAnsi="Ubuntu" w:cs="Tahoma"/>
        </w:rPr>
        <w:lastRenderedPageBreak/>
        <w:t>nového informačního systému</w:t>
      </w:r>
      <w:r w:rsidRPr="0030436C">
        <w:rPr>
          <w:rFonts w:ascii="Ubuntu" w:hAnsi="Ubuntu"/>
        </w:rPr>
        <w:t xml:space="preserve"> </w:t>
      </w:r>
      <w:r w:rsidR="00CA0C69" w:rsidRPr="00513A4B">
        <w:rPr>
          <w:rFonts w:ascii="Ubuntu" w:hAnsi="Ubuntu" w:cs="Tahoma"/>
        </w:rPr>
        <w:t>nahrazujícího předchozí aplikační řešení</w:t>
      </w:r>
      <w:r w:rsidR="00CA0C69">
        <w:rPr>
          <w:rFonts w:ascii="Ubuntu" w:hAnsi="Ubuntu" w:cs="Tahoma"/>
        </w:rPr>
        <w:t>, a to</w:t>
      </w:r>
      <w:r w:rsidR="00CA0C69" w:rsidRPr="00513A4B">
        <w:rPr>
          <w:rFonts w:ascii="Ubuntu" w:hAnsi="Ubuntu" w:cs="Tahoma"/>
        </w:rPr>
        <w:t xml:space="preserve"> </w:t>
      </w:r>
      <w:r>
        <w:rPr>
          <w:rFonts w:ascii="Ubuntu" w:hAnsi="Ubuntu"/>
        </w:rPr>
        <w:t>při zachování jejich úplnosti a integrity</w:t>
      </w:r>
      <w:r>
        <w:rPr>
          <w:rFonts w:ascii="Ubuntu" w:hAnsi="Ubuntu" w:cs="Tahoma"/>
        </w:rPr>
        <w:t xml:space="preserve">; </w:t>
      </w:r>
    </w:p>
    <w:p w14:paraId="7FB770E3" w14:textId="34B29B45" w:rsidR="00DA74D4" w:rsidRPr="00513A4B" w:rsidRDefault="00DA74D4" w:rsidP="00DA74D4">
      <w:pPr>
        <w:spacing w:after="120" w:line="276" w:lineRule="auto"/>
        <w:ind w:left="708" w:firstLine="708"/>
        <w:jc w:val="both"/>
        <w:rPr>
          <w:rFonts w:ascii="Ubuntu" w:hAnsi="Ubuntu" w:cs="Tahoma"/>
        </w:rPr>
      </w:pPr>
      <w:r w:rsidRPr="00513A4B">
        <w:rPr>
          <w:rFonts w:ascii="Ubuntu" w:hAnsi="Ubuntu"/>
        </w:rPr>
        <w:t>(dále vše jen jako „</w:t>
      </w:r>
      <w:r w:rsidRPr="00513A4B">
        <w:rPr>
          <w:rFonts w:ascii="Ubuntu" w:hAnsi="Ubuntu"/>
          <w:b/>
        </w:rPr>
        <w:t>Služby exitu</w:t>
      </w:r>
      <w:r w:rsidRPr="00513A4B">
        <w:rPr>
          <w:rFonts w:ascii="Ubuntu" w:hAnsi="Ubuntu"/>
        </w:rPr>
        <w:t>“)</w:t>
      </w:r>
      <w:r w:rsidR="0030436C">
        <w:rPr>
          <w:rFonts w:ascii="Ubuntu" w:hAnsi="Ubuntu"/>
        </w:rPr>
        <w:t>.</w:t>
      </w:r>
    </w:p>
    <w:p w14:paraId="3B72B9EA" w14:textId="5079C1BA" w:rsidR="00DA74D4" w:rsidRPr="006D2BA3" w:rsidRDefault="00DA74D4" w:rsidP="00DA74D4">
      <w:pPr>
        <w:numPr>
          <w:ilvl w:val="1"/>
          <w:numId w:val="1"/>
        </w:numPr>
        <w:spacing w:after="120" w:line="276" w:lineRule="auto"/>
        <w:ind w:left="709" w:hanging="709"/>
        <w:jc w:val="both"/>
        <w:rPr>
          <w:rFonts w:ascii="Ubuntu" w:hAnsi="Ubuntu" w:cs="Tahoma"/>
        </w:rPr>
      </w:pPr>
      <w:r w:rsidRPr="006D2BA3">
        <w:rPr>
          <w:rFonts w:ascii="Ubuntu" w:hAnsi="Ubuntu" w:cs="Tahoma"/>
        </w:rPr>
        <w:t>Cílem Služby exitu je nahradit veškeré činnosti, které jsou předmětem plnění ze Smlouvy, umožnit převod/přechod a další užívání zpracovávaných dat, a zajištění plynulého převodu/přechodu na nový informační systém zajišťovan</w:t>
      </w:r>
      <w:r w:rsidR="002B5B46">
        <w:rPr>
          <w:rFonts w:ascii="Ubuntu" w:hAnsi="Ubuntu" w:cs="Tahoma"/>
        </w:rPr>
        <w:t>ý</w:t>
      </w:r>
      <w:r w:rsidRPr="006D2BA3">
        <w:rPr>
          <w:rFonts w:ascii="Ubuntu" w:hAnsi="Ubuntu" w:cs="Tahoma"/>
        </w:rPr>
        <w:t xml:space="preserve"> stávajícím a/nebo novým poskytovatelem, bez omezení činností Objednatele. Služba exitu se týká nahrazení Služeb nebo jejich části při skončení účinnosti stávající Smlouvy. Pro úspěšnost Služby exitu je esenciální součinnost Poskytovatele.</w:t>
      </w:r>
    </w:p>
    <w:p w14:paraId="5D441D68" w14:textId="6A09E7F1"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 xml:space="preserve">K zamezení pochybností o postupu a průběhu Služby exitu bude za provedení Služby exitu odpovědný Poskytovatel a součinnost Objednatele bude spočívat v kontrole postupu realizace Služby exitu tak, aby povinnosti ve spolupráci se stávajícím </w:t>
      </w:r>
      <w:r w:rsidR="00126236">
        <w:rPr>
          <w:rFonts w:ascii="Ubuntu" w:hAnsi="Ubuntu" w:cs="Tahoma"/>
        </w:rPr>
        <w:t>P</w:t>
      </w:r>
      <w:r w:rsidRPr="00513A4B">
        <w:rPr>
          <w:rFonts w:ascii="Ubuntu" w:hAnsi="Ubuntu" w:cs="Tahoma"/>
        </w:rPr>
        <w:t xml:space="preserve">oskytovatelem byly zajištěny v maximální možné míře a byla odstraněna nedorozumění a případné průtahy v převzetí poskytování Služby. Služba bude tímto součinnostním nastavením předána efektivně s cílem, aby byly Služby </w:t>
      </w:r>
      <w:r w:rsidR="00377A7B">
        <w:rPr>
          <w:rFonts w:ascii="Ubuntu" w:hAnsi="Ubuntu" w:cs="Tahoma"/>
        </w:rPr>
        <w:t>Objednateli</w:t>
      </w:r>
      <w:r w:rsidR="00377A7B" w:rsidRPr="00513A4B">
        <w:rPr>
          <w:rFonts w:ascii="Ubuntu" w:hAnsi="Ubuntu" w:cs="Tahoma"/>
        </w:rPr>
        <w:t xml:space="preserve"> </w:t>
      </w:r>
      <w:r w:rsidRPr="00513A4B">
        <w:rPr>
          <w:rFonts w:ascii="Ubuntu" w:hAnsi="Ubuntu" w:cs="Tahoma"/>
        </w:rPr>
        <w:t>poskytovány ve stejné kvalitě jako před jejich převodem. Tento model součinnosti zajistí rovněž možnost operativních dohod ohledně priorit převodu, pořadí převodu Plnění a termínu jejího převodu, včetně potvrzení a akceptace exitu, že Služba byla v plném rozsahu předána.</w:t>
      </w:r>
    </w:p>
    <w:p w14:paraId="1929061C" w14:textId="77777777" w:rsidR="00DA74D4" w:rsidRPr="00513A4B" w:rsidRDefault="00DA74D4" w:rsidP="00DA74D4">
      <w:pPr>
        <w:numPr>
          <w:ilvl w:val="1"/>
          <w:numId w:val="1"/>
        </w:numPr>
        <w:spacing w:after="120" w:line="276" w:lineRule="auto"/>
        <w:ind w:left="709" w:hanging="709"/>
        <w:jc w:val="both"/>
        <w:rPr>
          <w:rFonts w:ascii="Ubuntu" w:hAnsi="Ubuntu" w:cs="Tahoma"/>
        </w:rPr>
      </w:pPr>
      <w:bookmarkStart w:id="1" w:name="_Ref401754504"/>
      <w:r w:rsidRPr="00513A4B">
        <w:rPr>
          <w:rFonts w:ascii="Ubuntu" w:hAnsi="Ubuntu" w:cs="Tahoma"/>
        </w:rPr>
        <w:t>Služby exitu budou Objednatelem objednávány dle následujícího postupu:</w:t>
      </w:r>
    </w:p>
    <w:p w14:paraId="55DC2627" w14:textId="172EEE38" w:rsidR="00DA74D4" w:rsidRPr="00513A4B" w:rsidRDefault="00DA74D4" w:rsidP="00DA74D4">
      <w:pPr>
        <w:numPr>
          <w:ilvl w:val="2"/>
          <w:numId w:val="1"/>
        </w:numPr>
        <w:spacing w:line="276" w:lineRule="auto"/>
        <w:ind w:left="1418" w:hanging="709"/>
        <w:jc w:val="both"/>
        <w:rPr>
          <w:rFonts w:ascii="Ubuntu" w:hAnsi="Ubuntu" w:cs="Tahoma"/>
        </w:rPr>
      </w:pPr>
      <w:bookmarkStart w:id="2" w:name="_Ref462058871"/>
      <w:r w:rsidRPr="00513A4B">
        <w:rPr>
          <w:rFonts w:ascii="Ubuntu" w:hAnsi="Ubuntu" w:cs="Tahoma"/>
        </w:rPr>
        <w:t>Objednatel je oprávněn</w:t>
      </w:r>
      <w:r w:rsidR="00304041">
        <w:rPr>
          <w:rFonts w:ascii="Ubuntu" w:hAnsi="Ubuntu" w:cs="Tahoma"/>
        </w:rPr>
        <w:t xml:space="preserve"> </w:t>
      </w:r>
      <w:r w:rsidRPr="0031565B">
        <w:rPr>
          <w:rFonts w:ascii="Ubuntu" w:hAnsi="Ubuntu" w:cs="Tahoma"/>
        </w:rPr>
        <w:t>kdykoli</w:t>
      </w:r>
      <w:r w:rsidR="00304041" w:rsidRPr="0031565B">
        <w:rPr>
          <w:rFonts w:ascii="Ubuntu" w:hAnsi="Ubuntu" w:cs="Tahoma"/>
        </w:rPr>
        <w:t xml:space="preserve"> v době následující po </w:t>
      </w:r>
      <w:r w:rsidR="00126236">
        <w:rPr>
          <w:rFonts w:ascii="Ubuntu" w:hAnsi="Ubuntu" w:cs="Tahoma"/>
        </w:rPr>
        <w:t>dvou</w:t>
      </w:r>
      <w:r w:rsidR="009B6162" w:rsidRPr="0031565B">
        <w:rPr>
          <w:rFonts w:ascii="Ubuntu" w:hAnsi="Ubuntu" w:cs="Tahoma"/>
        </w:rPr>
        <w:t xml:space="preserve"> (</w:t>
      </w:r>
      <w:r w:rsidR="00126236">
        <w:rPr>
          <w:rFonts w:ascii="Ubuntu" w:hAnsi="Ubuntu" w:cs="Tahoma"/>
        </w:rPr>
        <w:t>2</w:t>
      </w:r>
      <w:r w:rsidR="009B6162" w:rsidRPr="0031565B">
        <w:rPr>
          <w:rFonts w:ascii="Ubuntu" w:hAnsi="Ubuntu" w:cs="Tahoma"/>
        </w:rPr>
        <w:t>)</w:t>
      </w:r>
      <w:r w:rsidR="00304041" w:rsidRPr="0031565B">
        <w:rPr>
          <w:rFonts w:ascii="Ubuntu" w:hAnsi="Ubuntu" w:cs="Tahoma"/>
        </w:rPr>
        <w:t xml:space="preserve"> letech</w:t>
      </w:r>
      <w:r w:rsidR="00304041">
        <w:rPr>
          <w:rFonts w:ascii="Ubuntu" w:hAnsi="Ubuntu" w:cs="Tahoma"/>
        </w:rPr>
        <w:t xml:space="preserve"> od </w:t>
      </w:r>
      <w:r w:rsidR="00E346D5">
        <w:rPr>
          <w:rFonts w:ascii="Ubuntu" w:hAnsi="Ubuntu" w:cs="Tahoma"/>
        </w:rPr>
        <w:t xml:space="preserve">začátku </w:t>
      </w:r>
      <w:r w:rsidRPr="00513A4B">
        <w:rPr>
          <w:rFonts w:ascii="Ubuntu" w:hAnsi="Ubuntu" w:cs="Tahoma"/>
        </w:rPr>
        <w:t>účinnosti Smlouvy formou zadání exitového požadavku písemně zadat Poskytovateli plnění Služeb exitu (dále jen „</w:t>
      </w:r>
      <w:r w:rsidRPr="00513A4B">
        <w:rPr>
          <w:rFonts w:ascii="Ubuntu" w:hAnsi="Ubuntu" w:cs="Tahoma"/>
          <w:b/>
        </w:rPr>
        <w:t>Zadání exitového požadavku</w:t>
      </w:r>
      <w:r w:rsidRPr="00513A4B">
        <w:rPr>
          <w:rFonts w:ascii="Ubuntu" w:hAnsi="Ubuntu" w:cs="Tahoma"/>
        </w:rPr>
        <w:t>“) a Poskytovatel je povinen dle Zadání exitového požadavku nabídnout plnění, přičemž toto Zadání exitového požadavku musí obsahovat:</w:t>
      </w:r>
      <w:bookmarkEnd w:id="2"/>
    </w:p>
    <w:p w14:paraId="79B09908" w14:textId="77777777" w:rsidR="00DA74D4" w:rsidRPr="00513A4B" w:rsidRDefault="00DA74D4" w:rsidP="00DA74D4">
      <w:pPr>
        <w:numPr>
          <w:ilvl w:val="3"/>
          <w:numId w:val="2"/>
        </w:numPr>
        <w:spacing w:line="276" w:lineRule="auto"/>
        <w:ind w:left="1815" w:hanging="397"/>
        <w:jc w:val="both"/>
        <w:rPr>
          <w:rFonts w:ascii="Ubuntu" w:hAnsi="Ubuntu" w:cs="Tahoma"/>
        </w:rPr>
      </w:pPr>
      <w:r w:rsidRPr="00513A4B">
        <w:rPr>
          <w:rFonts w:ascii="Ubuntu" w:hAnsi="Ubuntu" w:cs="Tahoma"/>
        </w:rPr>
        <w:t>konkrétní označení a bližší specifikaci plnění, které je zadáno;</w:t>
      </w:r>
    </w:p>
    <w:p w14:paraId="1B46AFEE" w14:textId="0A66CC00" w:rsidR="00DA74D4" w:rsidRPr="00603616" w:rsidRDefault="00DA74D4" w:rsidP="00603616">
      <w:pPr>
        <w:numPr>
          <w:ilvl w:val="3"/>
          <w:numId w:val="2"/>
        </w:numPr>
        <w:spacing w:line="276" w:lineRule="auto"/>
        <w:ind w:left="1815" w:hanging="397"/>
        <w:jc w:val="both"/>
        <w:rPr>
          <w:rFonts w:ascii="Ubuntu" w:hAnsi="Ubuntu" w:cs="Tahoma"/>
        </w:rPr>
      </w:pPr>
      <w:r w:rsidRPr="00513A4B">
        <w:rPr>
          <w:rFonts w:ascii="Ubuntu" w:hAnsi="Ubuntu" w:cs="Tahoma"/>
        </w:rPr>
        <w:t>termíny zahájení a dodání plnění</w:t>
      </w:r>
      <w:r w:rsidR="00E346D5" w:rsidRPr="00603616">
        <w:rPr>
          <w:rFonts w:ascii="Ubuntu" w:hAnsi="Ubuntu" w:cs="Tahoma"/>
        </w:rPr>
        <w:t>.</w:t>
      </w:r>
    </w:p>
    <w:p w14:paraId="01D7EF5E" w14:textId="15794499" w:rsidR="00DA74D4" w:rsidRPr="00513A4B" w:rsidRDefault="00DA74D4" w:rsidP="00DA74D4">
      <w:pPr>
        <w:spacing w:after="120" w:line="276" w:lineRule="auto"/>
        <w:ind w:left="1418"/>
        <w:jc w:val="both"/>
        <w:rPr>
          <w:rFonts w:ascii="Ubuntu" w:hAnsi="Ubuntu" w:cs="Tahoma"/>
        </w:rPr>
      </w:pPr>
      <w:r w:rsidRPr="00513A4B">
        <w:rPr>
          <w:rFonts w:ascii="Ubuntu" w:hAnsi="Ubuntu" w:cs="Tahoma"/>
        </w:rPr>
        <w:t>Poskytovatel je povinen do 5 pracovních dní Objednateli doručit písemnou akceptaci Zadání exitového požadavku nebo sdělit Objednateli vady ve vymezení Zadání exitového požadavku bránící Poskytovateli Zadání exitového požadavku akceptovat. Vadou dle tohoto odstavce je zejména neurčitost zadání, kterou není Poskytovatel schopen technicky překonat či nesoulad zadání se sjednanými parametry Služby exitu; vadou Zadání exitového požadavku také je, pokud obsahuje nepřiměřeně krátký termín plnění nebo</w:t>
      </w:r>
      <w:r w:rsidR="00B05CC8" w:rsidRPr="00B05CC8">
        <w:rPr>
          <w:rFonts w:ascii="Ubuntu" w:hAnsi="Ubuntu" w:cs="Tahoma"/>
        </w:rPr>
        <w:t xml:space="preserve"> </w:t>
      </w:r>
      <w:r w:rsidR="00B05CC8" w:rsidRPr="00513A4B">
        <w:rPr>
          <w:rFonts w:ascii="Ubuntu" w:hAnsi="Ubuntu" w:cs="Tahoma"/>
        </w:rPr>
        <w:t>nepřiměřeně</w:t>
      </w:r>
      <w:r w:rsidRPr="00513A4B">
        <w:rPr>
          <w:rFonts w:ascii="Ubuntu" w:hAnsi="Ubuntu" w:cs="Tahoma"/>
        </w:rPr>
        <w:t xml:space="preserve"> nízký rozsah odhadované pracnosti, přičemž v takovém případě je Poskytovatel povinen tyto skutečnosti konkrétně a detailně specifikovat a odůvodnit. V takovém případě je Objednatel povinen své Zadání exitového požadavku přiměřeně upravit a opětovně předložit </w:t>
      </w:r>
      <w:r w:rsidRPr="00513A4B">
        <w:rPr>
          <w:rFonts w:ascii="Ubuntu" w:hAnsi="Ubuntu" w:cs="Tahoma"/>
        </w:rPr>
        <w:lastRenderedPageBreak/>
        <w:t xml:space="preserve">Poskytovateli za přiměřeného užití postupu uvedeného výše v tomto odstavci. </w:t>
      </w:r>
    </w:p>
    <w:p w14:paraId="54069B93" w14:textId="6CD92EF3" w:rsidR="00DA74D4" w:rsidRPr="00513A4B" w:rsidRDefault="00DA74D4" w:rsidP="00DA74D4">
      <w:pPr>
        <w:numPr>
          <w:ilvl w:val="1"/>
          <w:numId w:val="1"/>
        </w:numPr>
        <w:spacing w:after="120" w:line="276" w:lineRule="auto"/>
        <w:ind w:left="709" w:hanging="709"/>
        <w:jc w:val="both"/>
        <w:rPr>
          <w:rFonts w:ascii="Ubuntu" w:hAnsi="Ubuntu" w:cs="Tahoma"/>
        </w:rPr>
      </w:pPr>
      <w:bookmarkStart w:id="3" w:name="_Ref461998281"/>
      <w:bookmarkStart w:id="4" w:name="_Ref461997922"/>
      <w:r w:rsidRPr="00513A4B">
        <w:rPr>
          <w:rFonts w:ascii="Ubuntu" w:hAnsi="Ubuntu" w:cs="Tahoma"/>
        </w:rPr>
        <w:t>V reakci na přijaté Zadání exitového požadavku</w:t>
      </w:r>
      <w:r w:rsidRPr="00513A4B" w:rsidDel="008B6DDA">
        <w:rPr>
          <w:rFonts w:ascii="Ubuntu" w:hAnsi="Ubuntu" w:cs="Tahoma"/>
        </w:rPr>
        <w:t xml:space="preserve"> </w:t>
      </w:r>
      <w:r w:rsidRPr="00513A4B">
        <w:rPr>
          <w:rFonts w:ascii="Ubuntu" w:hAnsi="Ubuntu" w:cs="Tahoma"/>
        </w:rPr>
        <w:t xml:space="preserve">Objednatele je Poskytovatel povinen do </w:t>
      </w:r>
      <w:r w:rsidR="00304041">
        <w:rPr>
          <w:rFonts w:ascii="Ubuntu" w:hAnsi="Ubuntu" w:cs="Tahoma"/>
        </w:rPr>
        <w:t>20</w:t>
      </w:r>
      <w:r w:rsidRPr="00513A4B">
        <w:rPr>
          <w:rFonts w:ascii="Ubuntu" w:hAnsi="Ubuntu" w:cs="Tahoma"/>
        </w:rPr>
        <w:t xml:space="preserve"> pracovních dní doručit Objednateli písemné upřesnění realizace osnovy analýzy Zadání exitového požadavku jakožto návrh konkrétního dílčího plnění (dále jen „</w:t>
      </w:r>
      <w:r w:rsidRPr="00513A4B">
        <w:rPr>
          <w:rFonts w:ascii="Ubuntu" w:hAnsi="Ubuntu" w:cs="Tahoma"/>
          <w:b/>
        </w:rPr>
        <w:t>Analýza exitového požadavku</w:t>
      </w:r>
      <w:r w:rsidRPr="00513A4B">
        <w:rPr>
          <w:rFonts w:ascii="Ubuntu" w:hAnsi="Ubuntu" w:cs="Tahoma"/>
        </w:rPr>
        <w:t xml:space="preserve">“), nebo sdělit Objednateli vady ve vymezení Zadání exitového požadavku bránící Poskytovateli zahájit Analýzu exitového požadavku vypracovat. </w:t>
      </w:r>
      <w:bookmarkEnd w:id="3"/>
      <w:bookmarkEnd w:id="4"/>
    </w:p>
    <w:p w14:paraId="1C8B399D" w14:textId="603FBE90"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 xml:space="preserve">V případě, že Objednatel souhlasí s navrženou osnovou Analýzy exitového požadavku, bude Poskytovatele o této skutečnosti bez zbytečného odkladu písemně informovat. Objednatel je oprávněn i bez udání důvodu Poskytovatelem předloženou osnovu Analýzy exitového požadavku odmítnout, nebo se k ní nevyjádřit, nebo si vyžádat její úpravu dle svých odůvodněných požadavků, a to bez jakýchkoliv nároků vznikajících v této souvislosti Poskytovateli. Objednatel je oprávněn v Zadání exitového požadavku uvést, že v případě, že se k osnově Analýzy exitového požadavku navržené Poskytovatelem na základě Zadání exitového požadavku </w:t>
      </w:r>
      <w:proofErr w:type="gramStart"/>
      <w:r w:rsidRPr="00513A4B">
        <w:rPr>
          <w:rFonts w:ascii="Ubuntu" w:hAnsi="Ubuntu" w:cs="Tahoma"/>
        </w:rPr>
        <w:t>nevyjádří</w:t>
      </w:r>
      <w:proofErr w:type="gramEnd"/>
      <w:r w:rsidRPr="00513A4B">
        <w:rPr>
          <w:rFonts w:ascii="Ubuntu" w:hAnsi="Ubuntu" w:cs="Tahoma"/>
        </w:rPr>
        <w:t xml:space="preserve"> do uplynutí lhůty</w:t>
      </w:r>
      <w:r w:rsidR="00AC7216">
        <w:rPr>
          <w:rFonts w:ascii="Ubuntu" w:hAnsi="Ubuntu" w:cs="Tahoma"/>
        </w:rPr>
        <w:t xml:space="preserve"> 30 dní</w:t>
      </w:r>
      <w:r w:rsidRPr="00513A4B">
        <w:rPr>
          <w:rFonts w:ascii="Ubuntu" w:hAnsi="Ubuntu" w:cs="Tahoma"/>
        </w:rPr>
        <w:t>, považuje se osnova Analýza exitového požadavku za odsouhlasenou.</w:t>
      </w:r>
    </w:p>
    <w:p w14:paraId="242DF309" w14:textId="140513FB"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Demonstrativní a minimální výčet obsahu osnovy Analýzy exitového požadavk</w:t>
      </w:r>
      <w:r w:rsidR="00F93D7B">
        <w:rPr>
          <w:rFonts w:ascii="Ubuntu" w:hAnsi="Ubuntu" w:cs="Tahoma"/>
        </w:rPr>
        <w:t>u</w:t>
      </w:r>
      <w:r w:rsidRPr="00513A4B">
        <w:rPr>
          <w:rFonts w:ascii="Ubuntu" w:hAnsi="Ubuntu" w:cs="Tahoma"/>
        </w:rPr>
        <w:t xml:space="preserve"> je obsažen v čl. 2 této </w:t>
      </w:r>
      <w:r w:rsidR="00614EA2">
        <w:rPr>
          <w:rFonts w:ascii="Ubuntu" w:hAnsi="Ubuntu" w:cs="Tahoma"/>
        </w:rPr>
        <w:t>p</w:t>
      </w:r>
      <w:r w:rsidRPr="00513A4B">
        <w:rPr>
          <w:rFonts w:ascii="Ubuntu" w:hAnsi="Ubuntu" w:cs="Tahoma"/>
        </w:rPr>
        <w:t>řílohy.</w:t>
      </w:r>
    </w:p>
    <w:p w14:paraId="11D16030" w14:textId="1CEFE52B" w:rsidR="00DA74D4" w:rsidRPr="00513A4B" w:rsidRDefault="00DA74D4" w:rsidP="00DA74D4">
      <w:pPr>
        <w:numPr>
          <w:ilvl w:val="1"/>
          <w:numId w:val="1"/>
        </w:numPr>
        <w:spacing w:after="120" w:line="276" w:lineRule="auto"/>
        <w:ind w:left="709" w:hanging="709"/>
        <w:jc w:val="both"/>
        <w:rPr>
          <w:rFonts w:ascii="Ubuntu" w:hAnsi="Ubuntu" w:cs="Tahoma"/>
        </w:rPr>
      </w:pPr>
      <w:bookmarkStart w:id="5" w:name="_Ref461998283"/>
      <w:r w:rsidRPr="00513A4B">
        <w:rPr>
          <w:rFonts w:ascii="Ubuntu" w:hAnsi="Ubuntu" w:cs="Tahoma"/>
        </w:rPr>
        <w:t>V případě, že si Objednatel vyžádá úpravu osnovy Analýzy exitového požadavku, je Poskytovatel povinen tuto úpravu provést bez zbytečného odkladu</w:t>
      </w:r>
      <w:r w:rsidR="00AC7216">
        <w:rPr>
          <w:rFonts w:ascii="Ubuntu" w:hAnsi="Ubuntu" w:cs="Tahoma"/>
        </w:rPr>
        <w:t xml:space="preserve"> v maximální lhůtě 5 dní.</w:t>
      </w:r>
      <w:bookmarkEnd w:id="5"/>
    </w:p>
    <w:p w14:paraId="2863C298" w14:textId="21DC2F92" w:rsidR="00DA74D4" w:rsidRPr="00513A4B" w:rsidRDefault="00DA74D4" w:rsidP="00DA74D4">
      <w:pPr>
        <w:numPr>
          <w:ilvl w:val="1"/>
          <w:numId w:val="1"/>
        </w:numPr>
        <w:spacing w:after="120" w:line="276" w:lineRule="auto"/>
        <w:ind w:left="709" w:hanging="709"/>
        <w:jc w:val="both"/>
        <w:rPr>
          <w:rFonts w:ascii="Ubuntu" w:hAnsi="Ubuntu" w:cs="Tahoma"/>
        </w:rPr>
      </w:pPr>
      <w:bookmarkStart w:id="6" w:name="_Ref461998682"/>
      <w:r w:rsidRPr="00513A4B">
        <w:rPr>
          <w:rFonts w:ascii="Ubuntu" w:hAnsi="Ubuntu" w:cs="Tahoma"/>
        </w:rPr>
        <w:t xml:space="preserve">Zadání exitového požadavku se stává součástí odsouhlasené osnovy Analýzy exitového požadavku v rozsahu, v jakém ustanovením Analýzy exitového požadavku neodporuje, a pro výklad ustanovení Analýzy exitového požadavku se použije společně s touto </w:t>
      </w:r>
      <w:r w:rsidR="00962948">
        <w:rPr>
          <w:rFonts w:ascii="Ubuntu" w:hAnsi="Ubuntu" w:cs="Tahoma"/>
        </w:rPr>
        <w:t>p</w:t>
      </w:r>
      <w:r w:rsidRPr="00513A4B">
        <w:rPr>
          <w:rFonts w:ascii="Ubuntu" w:hAnsi="Ubuntu" w:cs="Tahoma"/>
        </w:rPr>
        <w:t>řílohou a Smlouvou subsidiárně.</w:t>
      </w:r>
      <w:bookmarkEnd w:id="6"/>
    </w:p>
    <w:p w14:paraId="162CFAB1" w14:textId="77777777"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Poskytovatel se po odsouhlasení Exitového požadavku či požadavku vzneseným Objednatelem v souladu s touto přílohou zavazuje jej realizovat.</w:t>
      </w:r>
    </w:p>
    <w:p w14:paraId="569A17FD" w14:textId="77777777" w:rsidR="00DA74D4" w:rsidRPr="007A7CB1"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Pro vyloučení pochybností se stanoví, že Objednatel není v průběhu trvání Smlouvy povinen poptat žádné Služby exitu.</w:t>
      </w:r>
      <w:bookmarkEnd w:id="1"/>
    </w:p>
    <w:p w14:paraId="70972DE2" w14:textId="77777777" w:rsidR="00DA74D4" w:rsidRPr="00512466" w:rsidRDefault="00DA74D4" w:rsidP="00512466">
      <w:pPr>
        <w:pStyle w:val="Nadpis1"/>
        <w:numPr>
          <w:ilvl w:val="0"/>
          <w:numId w:val="1"/>
        </w:numPr>
        <w:ind w:left="432" w:hanging="432"/>
        <w:rPr>
          <w:rFonts w:ascii="Ubuntu" w:hAnsi="Ubuntu" w:cs="Arial"/>
          <w:color w:val="00A0DE"/>
        </w:rPr>
      </w:pPr>
      <w:r w:rsidRPr="00512466">
        <w:rPr>
          <w:rFonts w:ascii="Ubuntu" w:hAnsi="Ubuntu" w:cs="Arial"/>
          <w:color w:val="00A0DE"/>
        </w:rPr>
        <w:t>Analýza exitového požadavku</w:t>
      </w:r>
    </w:p>
    <w:p w14:paraId="72C8234C" w14:textId="35123851"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 xml:space="preserve">Analýza exitového požadavku představuje základ procesu pro realizaci Služby exitu. Analýza exitového požadavku musí být spravována, aktualizována a kontrolována tak, aby odpovídala reálné situaci při plánování a realizaci Služby exitu. Účelem Analýzy exitového požadavku je zjištění dostatečných informací a faktů pro popis hlavní činnosti a součinnosti mezi stávajícím Poskytovatelem a novým poskytovatelem uskutečňované v rámci Služby exitu a pravidla a postupy, které jsou tyto strany povinny dodržovat. Výsledkem analýzy bude </w:t>
      </w:r>
      <w:r w:rsidRPr="00513A4B">
        <w:rPr>
          <w:rFonts w:ascii="Ubuntu" w:hAnsi="Ubuntu" w:cs="Tahoma"/>
        </w:rPr>
        <w:lastRenderedPageBreak/>
        <w:t xml:space="preserve">zpracovaný popis formou </w:t>
      </w:r>
      <w:r w:rsidR="003C6872" w:rsidRPr="00513A4B">
        <w:rPr>
          <w:rFonts w:ascii="Ubuntu" w:hAnsi="Ubuntu" w:cs="Tahoma"/>
        </w:rPr>
        <w:t>dokumentu – Exit</w:t>
      </w:r>
      <w:r w:rsidRPr="00513A4B">
        <w:rPr>
          <w:rFonts w:ascii="Ubuntu" w:hAnsi="Ubuntu" w:cs="Tahoma"/>
        </w:rPr>
        <w:t xml:space="preserve"> plán. V Exit plánu převodu budou též blíže určeny úkoly a povinnosti manažerů a hlavních garantů projektových týmů</w:t>
      </w:r>
      <w:r w:rsidR="003C6872">
        <w:rPr>
          <w:rFonts w:ascii="Ubuntu" w:hAnsi="Ubuntu" w:cs="Tahoma"/>
        </w:rPr>
        <w:t>,</w:t>
      </w:r>
      <w:r w:rsidRPr="00513A4B">
        <w:rPr>
          <w:rFonts w:ascii="Ubuntu" w:hAnsi="Ubuntu" w:cs="Tahoma"/>
        </w:rPr>
        <w:t xml:space="preserve"> a to s cílem předejít jakýmkoli problémům během této přechodné fáze.</w:t>
      </w:r>
    </w:p>
    <w:p w14:paraId="02FEFF8B" w14:textId="77777777" w:rsidR="00DA74D4" w:rsidRPr="007A7CB1"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 xml:space="preserve">Analýza exitového </w:t>
      </w:r>
      <w:r w:rsidRPr="007A7CB1">
        <w:rPr>
          <w:rFonts w:ascii="Ubuntu" w:hAnsi="Ubuntu" w:cs="Tahoma"/>
        </w:rPr>
        <w:t>požadavku bude obsahovat především:</w:t>
      </w:r>
    </w:p>
    <w:p w14:paraId="0B9E1E63" w14:textId="77777777" w:rsidR="00DA74D4" w:rsidRPr="007A7CB1" w:rsidRDefault="00DA74D4" w:rsidP="00DA74D4">
      <w:pPr>
        <w:pStyle w:val="Odstavecseseznamem"/>
        <w:numPr>
          <w:ilvl w:val="2"/>
          <w:numId w:val="1"/>
        </w:numPr>
        <w:ind w:left="1418" w:hanging="709"/>
        <w:jc w:val="both"/>
        <w:rPr>
          <w:rFonts w:ascii="Ubuntu" w:hAnsi="Ubuntu" w:cs="Tahoma"/>
        </w:rPr>
      </w:pPr>
      <w:r w:rsidRPr="007A7CB1">
        <w:rPr>
          <w:rFonts w:ascii="Ubuntu" w:hAnsi="Ubuntu" w:cs="Tahoma"/>
        </w:rPr>
        <w:t>Strukturu projektu Služby exitu</w:t>
      </w:r>
    </w:p>
    <w:p w14:paraId="4C0079DC" w14:textId="21D55EA5" w:rsidR="00DA74D4" w:rsidRPr="00513A4B" w:rsidRDefault="00DA74D4" w:rsidP="00DA74D4">
      <w:pPr>
        <w:numPr>
          <w:ilvl w:val="3"/>
          <w:numId w:val="3"/>
        </w:numPr>
        <w:spacing w:line="276" w:lineRule="auto"/>
        <w:ind w:left="1815" w:hanging="397"/>
        <w:jc w:val="both"/>
        <w:rPr>
          <w:rFonts w:ascii="Ubuntu" w:hAnsi="Ubuntu" w:cs="Tahoma"/>
        </w:rPr>
      </w:pPr>
      <w:r w:rsidRPr="00513A4B">
        <w:rPr>
          <w:rFonts w:ascii="Ubuntu" w:hAnsi="Ubuntu" w:cs="Tahoma"/>
        </w:rPr>
        <w:t xml:space="preserve">Ta zahrnuje vymezení hlavních orgánů realizace </w:t>
      </w:r>
      <w:r w:rsidR="00E346D5">
        <w:rPr>
          <w:rFonts w:ascii="Ubuntu" w:hAnsi="Ubuntu" w:cs="Tahoma"/>
        </w:rPr>
        <w:t>Služby exitu</w:t>
      </w:r>
      <w:r w:rsidRPr="00513A4B">
        <w:rPr>
          <w:rFonts w:ascii="Ubuntu" w:hAnsi="Ubuntu" w:cs="Tahoma"/>
        </w:rPr>
        <w:t>. Definuje také úkoly a povinnosti manažerů řídících převod a dalších odborných garantů převodu služeb pracujících v dočasných společných pracovních týmech. Struktura se skládá přinejmenším z Řídícího výboru a Manažerů pro Službu exitu.</w:t>
      </w:r>
    </w:p>
    <w:p w14:paraId="494FB8BD" w14:textId="77777777" w:rsidR="00DA74D4" w:rsidRPr="00513A4B" w:rsidRDefault="00DA74D4" w:rsidP="00DA74D4">
      <w:pPr>
        <w:numPr>
          <w:ilvl w:val="3"/>
          <w:numId w:val="3"/>
        </w:numPr>
        <w:spacing w:line="276" w:lineRule="auto"/>
        <w:ind w:left="1815" w:hanging="397"/>
        <w:jc w:val="both"/>
        <w:rPr>
          <w:rFonts w:ascii="Ubuntu" w:hAnsi="Ubuntu" w:cs="Tahoma"/>
        </w:rPr>
      </w:pPr>
      <w:r w:rsidRPr="00513A4B">
        <w:rPr>
          <w:rFonts w:ascii="Ubuntu" w:hAnsi="Ubuntu" w:cs="Tahoma"/>
        </w:rPr>
        <w:t>Řídící výbor řídí Službu exitu. Řídící výbor podléhá řízení ze strany Objednatele, Poskytovatele a příp. nastávajícího poskytovatele.</w:t>
      </w:r>
    </w:p>
    <w:p w14:paraId="126F14B0" w14:textId="77777777" w:rsidR="00DA74D4" w:rsidRPr="00513A4B" w:rsidRDefault="00DA74D4" w:rsidP="00DA74D4">
      <w:pPr>
        <w:numPr>
          <w:ilvl w:val="3"/>
          <w:numId w:val="3"/>
        </w:numPr>
        <w:spacing w:line="276" w:lineRule="auto"/>
        <w:ind w:left="1815" w:hanging="397"/>
        <w:jc w:val="both"/>
        <w:rPr>
          <w:rFonts w:ascii="Ubuntu" w:hAnsi="Ubuntu" w:cs="Tahoma"/>
        </w:rPr>
      </w:pPr>
      <w:r w:rsidRPr="00513A4B">
        <w:rPr>
          <w:rFonts w:ascii="Ubuntu" w:hAnsi="Ubuntu" w:cs="Tahoma"/>
        </w:rPr>
        <w:t>Manažeři pro Službu exitu odpovídají za všechny činnosti, které jsou součástí převodu. Manažeři pro převod jsou odpovědni společnému Řídícímu výboru.</w:t>
      </w:r>
    </w:p>
    <w:p w14:paraId="4A79583D" w14:textId="77777777" w:rsidR="00DA74D4" w:rsidRPr="00513A4B" w:rsidRDefault="00DA74D4" w:rsidP="00DA74D4">
      <w:pPr>
        <w:pStyle w:val="Odstavecseseznamem"/>
        <w:ind w:left="1728"/>
        <w:jc w:val="both"/>
        <w:rPr>
          <w:rFonts w:ascii="Ubuntu" w:hAnsi="Ubuntu" w:cs="Tahoma"/>
        </w:rPr>
      </w:pPr>
    </w:p>
    <w:p w14:paraId="2C3AEDC2" w14:textId="77777777" w:rsidR="00DA74D4" w:rsidRPr="00AC7216" w:rsidRDefault="00DA74D4" w:rsidP="00DA74D4">
      <w:pPr>
        <w:pStyle w:val="Odstavecseseznamem"/>
        <w:numPr>
          <w:ilvl w:val="2"/>
          <w:numId w:val="1"/>
        </w:numPr>
        <w:ind w:left="1418" w:hanging="709"/>
        <w:jc w:val="both"/>
        <w:rPr>
          <w:rFonts w:ascii="Ubuntu" w:hAnsi="Ubuntu" w:cs="Tahoma"/>
        </w:rPr>
      </w:pPr>
      <w:r w:rsidRPr="00AC7216">
        <w:rPr>
          <w:rFonts w:ascii="Ubuntu" w:hAnsi="Ubuntu" w:cs="Tahoma"/>
        </w:rPr>
        <w:t>Dostatečně podrobný popis požadovaného plnění – Exit plán</w:t>
      </w:r>
    </w:p>
    <w:p w14:paraId="6BBFFDE5" w14:textId="3F575B77" w:rsidR="00DA74D4" w:rsidRPr="00513A4B" w:rsidRDefault="00DA74D4" w:rsidP="00DA74D4">
      <w:pPr>
        <w:numPr>
          <w:ilvl w:val="3"/>
          <w:numId w:val="4"/>
        </w:numPr>
        <w:spacing w:line="276" w:lineRule="auto"/>
        <w:ind w:left="1815" w:hanging="397"/>
        <w:jc w:val="both"/>
        <w:rPr>
          <w:rFonts w:ascii="Ubuntu" w:hAnsi="Ubuntu" w:cs="Tahoma"/>
        </w:rPr>
      </w:pPr>
      <w:r w:rsidRPr="00AC7216">
        <w:rPr>
          <w:rFonts w:ascii="Ubuntu" w:hAnsi="Ubuntu" w:cs="Tahoma"/>
        </w:rPr>
        <w:t xml:space="preserve">Ten zahrnuje popis hlavní činnosti a součinnosti mezi stávajícím </w:t>
      </w:r>
      <w:r w:rsidR="001F64B4">
        <w:rPr>
          <w:rFonts w:ascii="Ubuntu" w:hAnsi="Ubuntu" w:cs="Tahoma"/>
        </w:rPr>
        <w:t>P</w:t>
      </w:r>
      <w:r w:rsidRPr="00AC7216">
        <w:rPr>
          <w:rFonts w:ascii="Ubuntu" w:hAnsi="Ubuntu" w:cs="Tahoma"/>
        </w:rPr>
        <w:t>oskytovatelem a novým poskytovatelem</w:t>
      </w:r>
      <w:r w:rsidRPr="00513A4B">
        <w:rPr>
          <w:rFonts w:ascii="Ubuntu" w:hAnsi="Ubuntu" w:cs="Tahoma"/>
        </w:rPr>
        <w:t xml:space="preserve"> uskutečňované v rámci převodu společně s popisem pravidel a postupů, které jsou mezi stávajícím </w:t>
      </w:r>
      <w:r w:rsidR="0051090E">
        <w:rPr>
          <w:rFonts w:ascii="Ubuntu" w:hAnsi="Ubuntu" w:cs="Tahoma"/>
        </w:rPr>
        <w:t>P</w:t>
      </w:r>
      <w:r w:rsidRPr="00513A4B">
        <w:rPr>
          <w:rFonts w:ascii="Ubuntu" w:hAnsi="Ubuntu" w:cs="Tahoma"/>
        </w:rPr>
        <w:t xml:space="preserve">oskytovatelem a novým poskytovatelem dodržovány. </w:t>
      </w:r>
    </w:p>
    <w:p w14:paraId="3F7C32E7" w14:textId="77777777" w:rsidR="00DA74D4" w:rsidRPr="00513A4B" w:rsidRDefault="00DA74D4" w:rsidP="00DA74D4">
      <w:pPr>
        <w:numPr>
          <w:ilvl w:val="3"/>
          <w:numId w:val="4"/>
        </w:numPr>
        <w:spacing w:line="276" w:lineRule="auto"/>
        <w:ind w:left="1815" w:hanging="397"/>
        <w:jc w:val="both"/>
        <w:rPr>
          <w:rFonts w:ascii="Ubuntu" w:hAnsi="Ubuntu" w:cs="Tahoma"/>
        </w:rPr>
      </w:pPr>
      <w:r w:rsidRPr="00513A4B">
        <w:rPr>
          <w:rFonts w:ascii="Ubuntu" w:hAnsi="Ubuntu" w:cs="Tahoma"/>
        </w:rPr>
        <w:t>Služba exitu bude řízena centrálně jako konsolidovaný projekt sestávající z jednotlivých dílčích projektů. Tyto projekty se musí sestávat přinejmenším z úspěšného předání poskytování Plnění novému poskytovateli, a to včetně veškerého relevantního zařízení a dále z úspěšné zavedení a zdokumentování všech úkolů a procesů prováděných Poskytovatelem v rámci Služby exitu.</w:t>
      </w:r>
    </w:p>
    <w:p w14:paraId="1AB99360" w14:textId="75147295" w:rsidR="00DA74D4" w:rsidRPr="00513A4B" w:rsidRDefault="00DA74D4" w:rsidP="00DA74D4">
      <w:pPr>
        <w:numPr>
          <w:ilvl w:val="3"/>
          <w:numId w:val="4"/>
        </w:numPr>
        <w:spacing w:line="276" w:lineRule="auto"/>
        <w:ind w:left="1815" w:hanging="397"/>
        <w:jc w:val="both"/>
        <w:rPr>
          <w:rFonts w:ascii="Ubuntu" w:hAnsi="Ubuntu" w:cs="Tahoma"/>
        </w:rPr>
      </w:pPr>
      <w:r w:rsidRPr="7775ABCA">
        <w:rPr>
          <w:rFonts w:ascii="Ubuntu" w:hAnsi="Ubuntu" w:cs="Tahoma"/>
        </w:rPr>
        <w:t>Pravidla a pokyny pro nakládání a využití zdrojových kódů</w:t>
      </w:r>
      <w:r w:rsidR="007A7CB1" w:rsidRPr="7775ABCA">
        <w:rPr>
          <w:rFonts w:ascii="Ubuntu" w:hAnsi="Ubuntu" w:cs="Tahoma"/>
        </w:rPr>
        <w:t xml:space="preserve"> a do</w:t>
      </w:r>
      <w:r w:rsidR="12859B15" w:rsidRPr="7775ABCA">
        <w:rPr>
          <w:rFonts w:ascii="Ubuntu" w:hAnsi="Ubuntu" w:cs="Tahoma"/>
        </w:rPr>
        <w:t>k</w:t>
      </w:r>
      <w:r w:rsidR="007A7CB1" w:rsidRPr="7775ABCA">
        <w:rPr>
          <w:rFonts w:ascii="Ubuntu" w:hAnsi="Ubuntu" w:cs="Tahoma"/>
        </w:rPr>
        <w:t>umentace</w:t>
      </w:r>
      <w:r w:rsidRPr="7775ABCA">
        <w:rPr>
          <w:rFonts w:ascii="Ubuntu" w:hAnsi="Ubuntu" w:cs="Tahoma"/>
        </w:rPr>
        <w:t>.</w:t>
      </w:r>
    </w:p>
    <w:p w14:paraId="5C5779FA" w14:textId="77777777" w:rsidR="00DA74D4" w:rsidRPr="00513A4B" w:rsidRDefault="00DA74D4" w:rsidP="00DA74D4">
      <w:pPr>
        <w:numPr>
          <w:ilvl w:val="3"/>
          <w:numId w:val="4"/>
        </w:numPr>
        <w:spacing w:after="120" w:line="276" w:lineRule="auto"/>
        <w:ind w:left="1815" w:hanging="397"/>
        <w:jc w:val="both"/>
        <w:rPr>
          <w:rFonts w:ascii="Ubuntu" w:hAnsi="Ubuntu" w:cs="Tahoma"/>
        </w:rPr>
      </w:pPr>
      <w:r w:rsidRPr="00513A4B">
        <w:rPr>
          <w:rFonts w:ascii="Ubuntu" w:hAnsi="Ubuntu" w:cs="Tahoma"/>
        </w:rPr>
        <w:t>Pravidla a pokyny pro přípravu a realizaci procesu kompletní migrace dat včetně popisu datových struktur, jejich naplňování, kontroly dat, procesu vlastního importu a testování v příp. novém</w:t>
      </w:r>
      <w:r w:rsidR="007B7E9E" w:rsidRPr="00513A4B">
        <w:rPr>
          <w:rFonts w:ascii="Ubuntu" w:hAnsi="Ubuntu" w:cs="Tahoma"/>
        </w:rPr>
        <w:t>,</w:t>
      </w:r>
      <w:r w:rsidRPr="00513A4B">
        <w:rPr>
          <w:rFonts w:ascii="Ubuntu" w:hAnsi="Ubuntu" w:cs="Tahoma"/>
        </w:rPr>
        <w:t xml:space="preserve"> nahrazujícím </w:t>
      </w:r>
      <w:r w:rsidR="007B7E9E" w:rsidRPr="00513A4B">
        <w:rPr>
          <w:rFonts w:ascii="Ubuntu" w:hAnsi="Ubuntu" w:cs="Tahoma"/>
        </w:rPr>
        <w:t>informačním systému</w:t>
      </w:r>
      <w:r w:rsidRPr="00513A4B">
        <w:rPr>
          <w:rFonts w:ascii="Ubuntu" w:hAnsi="Ubuntu" w:cs="Tahoma"/>
        </w:rPr>
        <w:t>.</w:t>
      </w:r>
    </w:p>
    <w:p w14:paraId="22EF5D30" w14:textId="77777777" w:rsidR="00DA74D4" w:rsidRPr="004F064E" w:rsidRDefault="00DA74D4" w:rsidP="00DA74D4">
      <w:pPr>
        <w:pStyle w:val="Odstavecseseznamem"/>
        <w:numPr>
          <w:ilvl w:val="2"/>
          <w:numId w:val="1"/>
        </w:numPr>
        <w:ind w:left="1418" w:hanging="709"/>
        <w:jc w:val="both"/>
        <w:rPr>
          <w:rFonts w:ascii="Ubuntu" w:hAnsi="Ubuntu" w:cs="Tahoma"/>
        </w:rPr>
      </w:pPr>
      <w:r w:rsidRPr="004F064E">
        <w:rPr>
          <w:rFonts w:ascii="Ubuntu" w:hAnsi="Ubuntu" w:cs="Tahoma"/>
        </w:rPr>
        <w:t>Dobu poskytnutí plnění nebo harmonogram realizace plnění</w:t>
      </w:r>
    </w:p>
    <w:p w14:paraId="53D6CD75" w14:textId="77777777" w:rsidR="00DA74D4" w:rsidRPr="00513A4B" w:rsidRDefault="00DA74D4" w:rsidP="00DA74D4">
      <w:pPr>
        <w:spacing w:after="120" w:line="276" w:lineRule="auto"/>
        <w:ind w:left="1416"/>
        <w:jc w:val="both"/>
        <w:rPr>
          <w:rFonts w:ascii="Ubuntu" w:hAnsi="Ubuntu" w:cs="Tahoma"/>
        </w:rPr>
      </w:pPr>
      <w:r w:rsidRPr="00513A4B">
        <w:rPr>
          <w:rFonts w:ascii="Ubuntu" w:hAnsi="Ubuntu" w:cs="Tahoma"/>
        </w:rPr>
        <w:t>Harmonogram musí respektovat v Zadání exitového požadavku určený termín plnění, ledaže by tento termín byl nepřiměřeně krátký a Poskytovatel tuto skutečnost v Analýze exitového požadavku dostatečně odůvodní s návrhem nejbližšího možného termínu plnění, který je realizovatelný.</w:t>
      </w:r>
    </w:p>
    <w:p w14:paraId="7294E53B" w14:textId="77777777" w:rsidR="00DA74D4" w:rsidRPr="004F064E" w:rsidRDefault="00DA74D4" w:rsidP="00DA74D4">
      <w:pPr>
        <w:pStyle w:val="Odstavecseseznamem"/>
        <w:numPr>
          <w:ilvl w:val="2"/>
          <w:numId w:val="1"/>
        </w:numPr>
        <w:ind w:left="1418" w:hanging="709"/>
        <w:jc w:val="both"/>
        <w:rPr>
          <w:rFonts w:ascii="Ubuntu" w:hAnsi="Ubuntu" w:cs="Tahoma"/>
        </w:rPr>
      </w:pPr>
      <w:r w:rsidRPr="004F064E">
        <w:rPr>
          <w:rFonts w:ascii="Ubuntu" w:hAnsi="Ubuntu" w:cs="Tahoma"/>
        </w:rPr>
        <w:t>Požadavky na nezbytnou součinnost Objednatele při realizaci plnění</w:t>
      </w:r>
    </w:p>
    <w:p w14:paraId="552AFF92" w14:textId="77777777" w:rsidR="00DA74D4" w:rsidRPr="00513A4B" w:rsidRDefault="00DA74D4" w:rsidP="00DA74D4">
      <w:pPr>
        <w:spacing w:after="120" w:line="276" w:lineRule="auto"/>
        <w:ind w:left="1416"/>
        <w:jc w:val="both"/>
        <w:rPr>
          <w:rFonts w:ascii="Ubuntu" w:hAnsi="Ubuntu" w:cs="Tahoma"/>
        </w:rPr>
      </w:pPr>
      <w:r w:rsidRPr="00513A4B">
        <w:rPr>
          <w:rFonts w:ascii="Ubuntu" w:hAnsi="Ubuntu" w:cs="Tahoma"/>
        </w:rPr>
        <w:t xml:space="preserve">Analýza exitového požadavku musí zavazovat Poskytovatele poskytnout Objednateli a budoucímu poskytovateli veškerou potřebnou součinnost, dokumentaci a informace a účastnit se jednání </w:t>
      </w:r>
      <w:r w:rsidRPr="00513A4B">
        <w:rPr>
          <w:rFonts w:ascii="Ubuntu" w:hAnsi="Ubuntu" w:cs="Tahoma"/>
        </w:rPr>
        <w:lastRenderedPageBreak/>
        <w:t>s Objednatelem a budoucím poskytovatelem za účelem provedení Služby exitu plynulého a řádného převedení/nahrazení Plnění či jejich příslušné části dle Analýzy exitového požadavku.</w:t>
      </w:r>
    </w:p>
    <w:p w14:paraId="6D9B56AF" w14:textId="77777777" w:rsidR="00DA74D4" w:rsidRPr="004F064E" w:rsidRDefault="00DA74D4" w:rsidP="00DA74D4">
      <w:pPr>
        <w:pStyle w:val="Odstavecseseznamem"/>
        <w:numPr>
          <w:ilvl w:val="2"/>
          <w:numId w:val="1"/>
        </w:numPr>
        <w:ind w:left="1418" w:hanging="709"/>
        <w:jc w:val="both"/>
        <w:rPr>
          <w:rFonts w:ascii="Ubuntu" w:hAnsi="Ubuntu" w:cs="Tahoma"/>
        </w:rPr>
      </w:pPr>
      <w:r w:rsidRPr="004F064E">
        <w:rPr>
          <w:rFonts w:ascii="Ubuntu" w:hAnsi="Ubuntu" w:cs="Tahoma"/>
        </w:rPr>
        <w:t>Definice a podrobný popis procesu testování a akceptace včetně procesu schvalování Služby exitu</w:t>
      </w:r>
    </w:p>
    <w:p w14:paraId="7B595ED2" w14:textId="155CBBC0" w:rsidR="00DA74D4" w:rsidRPr="00513A4B" w:rsidRDefault="00DA74D4" w:rsidP="00DA74D4">
      <w:pPr>
        <w:spacing w:after="120" w:line="276" w:lineRule="auto"/>
        <w:ind w:left="1416"/>
        <w:jc w:val="both"/>
        <w:rPr>
          <w:rFonts w:ascii="Ubuntu" w:hAnsi="Ubuntu" w:cs="Tahoma"/>
        </w:rPr>
      </w:pPr>
      <w:r w:rsidRPr="00513A4B">
        <w:rPr>
          <w:rFonts w:ascii="Ubuntu" w:hAnsi="Ubuntu" w:cs="Tahoma"/>
        </w:rPr>
        <w:t xml:space="preserve">Pro úspěšné provedení Služby exitu musí být přinejmenším ověřeno, že došlo k následujícím událostem k splnění veškerých stanovených cílů Služby exitu a Objednatel musí dát potvrzující </w:t>
      </w:r>
      <w:r w:rsidR="00975255">
        <w:rPr>
          <w:rFonts w:ascii="Ubuntu" w:hAnsi="Ubuntu" w:cs="Tahoma"/>
        </w:rPr>
        <w:t>s</w:t>
      </w:r>
      <w:r w:rsidRPr="00513A4B">
        <w:rPr>
          <w:rFonts w:ascii="Ubuntu" w:hAnsi="Ubuntu" w:cs="Tahoma"/>
        </w:rPr>
        <w:t>ouhlas, že plán a cíle Služby exitu byly splněny.</w:t>
      </w:r>
    </w:p>
    <w:p w14:paraId="2E97AA2E" w14:textId="4EFA2065" w:rsidR="00DA74D4" w:rsidRPr="007A7CB1" w:rsidRDefault="00DA74D4" w:rsidP="00DA74D4">
      <w:pPr>
        <w:pStyle w:val="Odstavecseseznamem"/>
        <w:numPr>
          <w:ilvl w:val="2"/>
          <w:numId w:val="1"/>
        </w:numPr>
        <w:ind w:left="1418" w:hanging="709"/>
        <w:jc w:val="both"/>
        <w:rPr>
          <w:rFonts w:ascii="Ubuntu" w:hAnsi="Ubuntu" w:cs="Tahoma"/>
        </w:rPr>
      </w:pPr>
      <w:r w:rsidRPr="7775ABCA">
        <w:rPr>
          <w:rFonts w:ascii="Ubuntu" w:hAnsi="Ubuntu" w:cs="Tahoma"/>
        </w:rPr>
        <w:t>Konečn</w:t>
      </w:r>
      <w:r w:rsidR="648DD54B" w:rsidRPr="7775ABCA">
        <w:rPr>
          <w:rFonts w:ascii="Ubuntu" w:hAnsi="Ubuntu" w:cs="Tahoma"/>
        </w:rPr>
        <w:t>á</w:t>
      </w:r>
      <w:r w:rsidRPr="7775ABCA">
        <w:rPr>
          <w:rFonts w:ascii="Ubuntu" w:hAnsi="Ubuntu" w:cs="Tahoma"/>
        </w:rPr>
        <w:t xml:space="preserve"> cena za realizaci plnění stanovená v souladu s cenovými podmínkami uvedenými ve Smlouvě </w:t>
      </w:r>
    </w:p>
    <w:p w14:paraId="0B688559" w14:textId="21CC11B2" w:rsidR="00DA74D4" w:rsidRPr="00513A4B" w:rsidRDefault="00DA74D4" w:rsidP="00DA74D4">
      <w:pPr>
        <w:spacing w:after="120" w:line="276" w:lineRule="auto"/>
        <w:ind w:left="1416"/>
        <w:jc w:val="both"/>
        <w:rPr>
          <w:rFonts w:ascii="Ubuntu" w:hAnsi="Ubuntu" w:cs="Tahoma"/>
        </w:rPr>
      </w:pPr>
      <w:r w:rsidRPr="00513A4B">
        <w:rPr>
          <w:rFonts w:ascii="Ubuntu" w:hAnsi="Ubuntu" w:cs="Tahoma"/>
        </w:rPr>
        <w:t xml:space="preserve">Stanovená cena musí respektovat v Zadání exitového požadavku stanovený rozsah pracnosti, ledaže by tento rozsah byl nepřiměřeně nízký a Poskytovatel tuto skutečnost v Analýze exitového požadavku dostatečně odůvodní s návrhem nejnižšího rozsahu pracnosti, v </w:t>
      </w:r>
      <w:r w:rsidR="001D214E" w:rsidRPr="00513A4B">
        <w:rPr>
          <w:rFonts w:ascii="Ubuntu" w:hAnsi="Ubuntu" w:cs="Tahoma"/>
        </w:rPr>
        <w:t>rámci,</w:t>
      </w:r>
      <w:r w:rsidRPr="00513A4B">
        <w:rPr>
          <w:rFonts w:ascii="Ubuntu" w:hAnsi="Ubuntu" w:cs="Tahoma"/>
        </w:rPr>
        <w:t xml:space="preserve"> kterého je realizace plnění proveditelná.</w:t>
      </w:r>
    </w:p>
    <w:p w14:paraId="0F2BFE99" w14:textId="77777777" w:rsidR="00DA74D4" w:rsidRPr="00512466" w:rsidRDefault="00DA74D4" w:rsidP="00512466">
      <w:pPr>
        <w:pStyle w:val="Nadpis1"/>
        <w:numPr>
          <w:ilvl w:val="0"/>
          <w:numId w:val="1"/>
        </w:numPr>
        <w:ind w:left="432" w:hanging="432"/>
        <w:rPr>
          <w:rFonts w:ascii="Ubuntu" w:hAnsi="Ubuntu" w:cs="Arial"/>
          <w:color w:val="00A0DE"/>
        </w:rPr>
      </w:pPr>
      <w:r w:rsidRPr="00512466">
        <w:rPr>
          <w:rFonts w:ascii="Ubuntu" w:hAnsi="Ubuntu" w:cs="Arial"/>
          <w:color w:val="00A0DE"/>
        </w:rPr>
        <w:t>Migrace dat, služba migrace dat</w:t>
      </w:r>
    </w:p>
    <w:p w14:paraId="25D2E988" w14:textId="77777777"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 xml:space="preserve">Služby migrace dat zahrnují zejména: </w:t>
      </w:r>
    </w:p>
    <w:p w14:paraId="2755D7DB" w14:textId="3DA70992"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V rámci provedené Analýzy exitového požadavku stanov</w:t>
      </w:r>
      <w:r w:rsidR="00AD7678">
        <w:rPr>
          <w:rFonts w:ascii="Ubuntu" w:hAnsi="Ubuntu" w:cs="Tahoma"/>
        </w:rPr>
        <w:t>ení</w:t>
      </w:r>
      <w:r w:rsidRPr="00513A4B">
        <w:rPr>
          <w:rFonts w:ascii="Ubuntu" w:hAnsi="Ubuntu" w:cs="Tahoma"/>
        </w:rPr>
        <w:t xml:space="preserve">, </w:t>
      </w:r>
      <w:r w:rsidR="00AD7678" w:rsidRPr="00513A4B">
        <w:rPr>
          <w:rFonts w:ascii="Ubuntu" w:hAnsi="Ubuntu" w:cs="Tahoma"/>
        </w:rPr>
        <w:t>definov</w:t>
      </w:r>
      <w:r w:rsidR="00AD7678">
        <w:rPr>
          <w:rFonts w:ascii="Ubuntu" w:hAnsi="Ubuntu" w:cs="Tahoma"/>
        </w:rPr>
        <w:t>ání</w:t>
      </w:r>
      <w:r w:rsidR="00AD7678" w:rsidRPr="00513A4B">
        <w:rPr>
          <w:rFonts w:ascii="Ubuntu" w:hAnsi="Ubuntu" w:cs="Tahoma"/>
        </w:rPr>
        <w:t xml:space="preserve"> </w:t>
      </w:r>
      <w:r w:rsidRPr="00513A4B">
        <w:rPr>
          <w:rFonts w:ascii="Ubuntu" w:hAnsi="Ubuntu" w:cs="Tahoma"/>
        </w:rPr>
        <w:t xml:space="preserve">a </w:t>
      </w:r>
      <w:r w:rsidR="00AD7678" w:rsidRPr="00513A4B">
        <w:rPr>
          <w:rFonts w:ascii="Ubuntu" w:hAnsi="Ubuntu" w:cs="Tahoma"/>
        </w:rPr>
        <w:t>vymez</w:t>
      </w:r>
      <w:r w:rsidR="00AD7678">
        <w:rPr>
          <w:rFonts w:ascii="Ubuntu" w:hAnsi="Ubuntu" w:cs="Tahoma"/>
        </w:rPr>
        <w:t xml:space="preserve">ení </w:t>
      </w:r>
      <w:r w:rsidRPr="00513A4B">
        <w:rPr>
          <w:rFonts w:ascii="Ubuntu" w:hAnsi="Ubuntu" w:cs="Tahoma"/>
        </w:rPr>
        <w:t>přesn</w:t>
      </w:r>
      <w:r w:rsidR="00AD7678">
        <w:rPr>
          <w:rFonts w:ascii="Ubuntu" w:hAnsi="Ubuntu" w:cs="Tahoma"/>
        </w:rPr>
        <w:t>ých</w:t>
      </w:r>
      <w:r w:rsidRPr="00513A4B">
        <w:rPr>
          <w:rFonts w:ascii="Ubuntu" w:hAnsi="Ubuntu" w:cs="Tahoma"/>
        </w:rPr>
        <w:t xml:space="preserve"> požadavk</w:t>
      </w:r>
      <w:r w:rsidR="00AD7678">
        <w:rPr>
          <w:rFonts w:ascii="Ubuntu" w:hAnsi="Ubuntu" w:cs="Tahoma"/>
        </w:rPr>
        <w:t>ů</w:t>
      </w:r>
      <w:r w:rsidRPr="00513A4B">
        <w:rPr>
          <w:rFonts w:ascii="Ubuntu" w:hAnsi="Ubuntu" w:cs="Tahoma"/>
        </w:rPr>
        <w:t xml:space="preserve"> migrace v Exit plánu.</w:t>
      </w:r>
    </w:p>
    <w:p w14:paraId="2346B10C" w14:textId="0FEA10BB"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Stanov</w:t>
      </w:r>
      <w:r w:rsidR="00AD7678">
        <w:rPr>
          <w:rFonts w:ascii="Ubuntu" w:hAnsi="Ubuntu" w:cs="Tahoma"/>
        </w:rPr>
        <w:t>ení</w:t>
      </w:r>
      <w:r w:rsidRPr="00513A4B">
        <w:rPr>
          <w:rFonts w:ascii="Ubuntu" w:hAnsi="Ubuntu" w:cs="Tahoma"/>
        </w:rPr>
        <w:t xml:space="preserve"> odpovědn</w:t>
      </w:r>
      <w:r w:rsidR="00AD7678">
        <w:rPr>
          <w:rFonts w:ascii="Ubuntu" w:hAnsi="Ubuntu" w:cs="Tahoma"/>
        </w:rPr>
        <w:t>ých</w:t>
      </w:r>
      <w:r w:rsidRPr="00513A4B">
        <w:rPr>
          <w:rFonts w:ascii="Ubuntu" w:hAnsi="Ubuntu" w:cs="Tahoma"/>
        </w:rPr>
        <w:t xml:space="preserve"> osob v procesu migrace za Objednatele, Poskytovatele a třetí osob</w:t>
      </w:r>
      <w:r w:rsidR="00AD7678">
        <w:rPr>
          <w:rFonts w:ascii="Ubuntu" w:hAnsi="Ubuntu" w:cs="Tahoma"/>
        </w:rPr>
        <w:t>y</w:t>
      </w:r>
      <w:r w:rsidRPr="00513A4B">
        <w:rPr>
          <w:rFonts w:ascii="Ubuntu" w:hAnsi="Ubuntu" w:cs="Tahoma"/>
        </w:rPr>
        <w:t>.</w:t>
      </w:r>
    </w:p>
    <w:p w14:paraId="6A02CD95" w14:textId="77777777"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Stanovení harmonogramu migrace dat.</w:t>
      </w:r>
    </w:p>
    <w:p w14:paraId="0895BE20" w14:textId="21908F1B"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Vymez</w:t>
      </w:r>
      <w:r w:rsidR="00AD7678">
        <w:rPr>
          <w:rFonts w:ascii="Ubuntu" w:hAnsi="Ubuntu" w:cs="Tahoma"/>
        </w:rPr>
        <w:t>ení</w:t>
      </w:r>
      <w:r w:rsidRPr="00513A4B">
        <w:rPr>
          <w:rFonts w:ascii="Ubuntu" w:hAnsi="Ubuntu" w:cs="Tahoma"/>
        </w:rPr>
        <w:t xml:space="preserve"> rozsah</w:t>
      </w:r>
      <w:r w:rsidR="00AD7678">
        <w:rPr>
          <w:rFonts w:ascii="Ubuntu" w:hAnsi="Ubuntu" w:cs="Tahoma"/>
        </w:rPr>
        <w:t>u</w:t>
      </w:r>
      <w:r w:rsidRPr="00513A4B">
        <w:rPr>
          <w:rFonts w:ascii="Ubuntu" w:hAnsi="Ubuntu" w:cs="Tahoma"/>
        </w:rPr>
        <w:t xml:space="preserve"> migrace dat, </w:t>
      </w:r>
      <w:r w:rsidR="001248FE">
        <w:rPr>
          <w:rFonts w:ascii="Ubuntu" w:hAnsi="Ubuntu" w:cs="Tahoma"/>
        </w:rPr>
        <w:t xml:space="preserve">kdy </w:t>
      </w:r>
      <w:r w:rsidRPr="00513A4B">
        <w:rPr>
          <w:rFonts w:ascii="Ubuntu" w:hAnsi="Ubuntu" w:cs="Tahoma"/>
        </w:rPr>
        <w:t xml:space="preserve">smyslem a cílem migrace dat je dosáhnout nového řešení poskytování aplikační služeb s kompletní historií dat z předchozího zpracování. </w:t>
      </w:r>
    </w:p>
    <w:p w14:paraId="73AB81CD" w14:textId="5FFDAC76" w:rsidR="00DA74D4" w:rsidRPr="00513A4B" w:rsidRDefault="00DA74D4" w:rsidP="00DA74D4">
      <w:pPr>
        <w:numPr>
          <w:ilvl w:val="2"/>
          <w:numId w:val="1"/>
        </w:numPr>
        <w:spacing w:line="276" w:lineRule="auto"/>
        <w:ind w:left="1418" w:hanging="709"/>
        <w:jc w:val="both"/>
        <w:rPr>
          <w:rFonts w:ascii="Ubuntu" w:hAnsi="Ubuntu" w:cs="Tahoma"/>
        </w:rPr>
      </w:pPr>
      <w:r w:rsidRPr="00513A4B">
        <w:rPr>
          <w:rFonts w:ascii="Ubuntu" w:hAnsi="Ubuntu" w:cs="Tahoma"/>
        </w:rPr>
        <w:t>Stanov</w:t>
      </w:r>
      <w:r w:rsidR="001248FE">
        <w:rPr>
          <w:rFonts w:ascii="Ubuntu" w:hAnsi="Ubuntu" w:cs="Tahoma"/>
        </w:rPr>
        <w:t>ení</w:t>
      </w:r>
      <w:r w:rsidRPr="00513A4B">
        <w:rPr>
          <w:rFonts w:ascii="Ubuntu" w:hAnsi="Ubuntu" w:cs="Tahoma"/>
        </w:rPr>
        <w:t xml:space="preserve"> datov</w:t>
      </w:r>
      <w:r w:rsidR="001248FE">
        <w:rPr>
          <w:rFonts w:ascii="Ubuntu" w:hAnsi="Ubuntu" w:cs="Tahoma"/>
        </w:rPr>
        <w:t>ých</w:t>
      </w:r>
      <w:r w:rsidRPr="00513A4B">
        <w:rPr>
          <w:rFonts w:ascii="Ubuntu" w:hAnsi="Ubuntu" w:cs="Tahoma"/>
        </w:rPr>
        <w:t xml:space="preserve"> struktur a formát</w:t>
      </w:r>
      <w:r w:rsidR="001248FE">
        <w:rPr>
          <w:rFonts w:ascii="Ubuntu" w:hAnsi="Ubuntu" w:cs="Tahoma"/>
        </w:rPr>
        <w:t>ů</w:t>
      </w:r>
      <w:r w:rsidRPr="00513A4B">
        <w:rPr>
          <w:rFonts w:ascii="Ubuntu" w:hAnsi="Ubuntu" w:cs="Tahoma"/>
        </w:rPr>
        <w:t xml:space="preserve"> pro datové přenosy migrace s přesným popisem a dokumentací podporující komplexní a vyčerpávající převod dat. Základní metodiky pro stanovení popisu a převodu jsou tyto:</w:t>
      </w:r>
    </w:p>
    <w:p w14:paraId="159F8DCF" w14:textId="793B3190" w:rsidR="00DA74D4" w:rsidRPr="00513A4B" w:rsidRDefault="00DA74D4" w:rsidP="00DA74D4">
      <w:pPr>
        <w:numPr>
          <w:ilvl w:val="3"/>
          <w:numId w:val="5"/>
        </w:numPr>
        <w:spacing w:line="276" w:lineRule="auto"/>
        <w:ind w:left="1815" w:hanging="397"/>
        <w:jc w:val="both"/>
        <w:rPr>
          <w:rFonts w:ascii="Ubuntu" w:hAnsi="Ubuntu" w:cs="Tahoma"/>
        </w:rPr>
      </w:pPr>
      <w:r w:rsidRPr="00513A4B">
        <w:rPr>
          <w:rFonts w:ascii="Ubuntu" w:hAnsi="Ubuntu" w:cs="Tahoma"/>
        </w:rPr>
        <w:t xml:space="preserve">Předat popis datového modelu stávající databáze, popis všech tabulek, vazeb, referenčních integrit, položek, primárních klíčů, </w:t>
      </w:r>
      <w:r w:rsidR="001D214E" w:rsidRPr="00513A4B">
        <w:rPr>
          <w:rFonts w:ascii="Ubuntu" w:hAnsi="Ubuntu" w:cs="Tahoma"/>
        </w:rPr>
        <w:t>indexů</w:t>
      </w:r>
      <w:r w:rsidRPr="00513A4B">
        <w:rPr>
          <w:rFonts w:ascii="Ubuntu" w:hAnsi="Ubuntu" w:cs="Tahoma"/>
        </w:rPr>
        <w:t xml:space="preserve"> atd. zajistit migraci celé databáze a/nebo exporty dat v strukturách odpovídající databázovému uspořádání</w:t>
      </w:r>
      <w:r w:rsidR="00013DCE">
        <w:rPr>
          <w:rFonts w:ascii="Ubuntu" w:hAnsi="Ubuntu" w:cs="Tahoma"/>
        </w:rPr>
        <w:t xml:space="preserve"> nového informačního systému</w:t>
      </w:r>
      <w:r w:rsidRPr="00513A4B">
        <w:rPr>
          <w:rFonts w:ascii="Ubuntu" w:hAnsi="Ubuntu" w:cs="Tahoma"/>
        </w:rPr>
        <w:t>.</w:t>
      </w:r>
    </w:p>
    <w:p w14:paraId="25100D40" w14:textId="77777777" w:rsidR="00DA74D4" w:rsidRPr="00513A4B" w:rsidRDefault="00DA74D4" w:rsidP="00DA74D4">
      <w:pPr>
        <w:numPr>
          <w:ilvl w:val="3"/>
          <w:numId w:val="5"/>
        </w:numPr>
        <w:spacing w:after="120" w:line="276" w:lineRule="auto"/>
        <w:ind w:left="1815" w:hanging="397"/>
        <w:jc w:val="both"/>
        <w:rPr>
          <w:rFonts w:ascii="Ubuntu" w:hAnsi="Ubuntu" w:cs="Tahoma"/>
        </w:rPr>
      </w:pPr>
      <w:r w:rsidRPr="00513A4B">
        <w:rPr>
          <w:rFonts w:ascii="Ubuntu" w:hAnsi="Ubuntu" w:cs="Tahoma"/>
        </w:rPr>
        <w:t xml:space="preserve">Stanovit konverzní struktury dat s přesnými popisy položek a jejich významu, vazby pro migraci dat (referenční integrity) tak, aby export zajišťoval vyčerpávající datovou transformaci do nového </w:t>
      </w:r>
      <w:r w:rsidR="007B7E9E" w:rsidRPr="00513A4B">
        <w:rPr>
          <w:rFonts w:ascii="Ubuntu" w:hAnsi="Ubuntu" w:cs="Tahoma"/>
        </w:rPr>
        <w:t>informačního systému,</w:t>
      </w:r>
      <w:r w:rsidRPr="00513A4B">
        <w:rPr>
          <w:rFonts w:ascii="Ubuntu" w:hAnsi="Ubuntu" w:cs="Tahoma"/>
        </w:rPr>
        <w:t xml:space="preserve"> nahrazující</w:t>
      </w:r>
      <w:r w:rsidR="007B7E9E" w:rsidRPr="00513A4B">
        <w:rPr>
          <w:rFonts w:ascii="Ubuntu" w:hAnsi="Ubuntu" w:cs="Tahoma"/>
        </w:rPr>
        <w:t>ho</w:t>
      </w:r>
      <w:r w:rsidRPr="00513A4B">
        <w:rPr>
          <w:rFonts w:ascii="Ubuntu" w:hAnsi="Ubuntu" w:cs="Tahoma"/>
        </w:rPr>
        <w:t xml:space="preserve"> původní řešení. </w:t>
      </w:r>
    </w:p>
    <w:p w14:paraId="73D91BED" w14:textId="77777777"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lastRenderedPageBreak/>
        <w:t>Migrace dat musí zajišťovat veškeré konverze číselníků, katalogů a dat podporující parametrizaci dat a aplikačního řešení.</w:t>
      </w:r>
    </w:p>
    <w:p w14:paraId="6B113E78" w14:textId="7C4BCF3C"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Proces migrace dat prochází jednotlivými fázemi počínaj</w:t>
      </w:r>
      <w:r w:rsidR="0039023B">
        <w:rPr>
          <w:rFonts w:ascii="Ubuntu" w:hAnsi="Ubuntu" w:cs="Tahoma"/>
        </w:rPr>
        <w:t>e</w:t>
      </w:r>
      <w:r w:rsidRPr="00513A4B">
        <w:rPr>
          <w:rFonts w:ascii="Ubuntu" w:hAnsi="Ubuntu" w:cs="Tahoma"/>
        </w:rPr>
        <w:t xml:space="preserve"> přípravou, testovacím procesem</w:t>
      </w:r>
      <w:r w:rsidR="007A7CB1">
        <w:rPr>
          <w:rFonts w:ascii="Ubuntu" w:hAnsi="Ubuntu" w:cs="Tahoma"/>
        </w:rPr>
        <w:t>,</w:t>
      </w:r>
      <w:r w:rsidRPr="00513A4B">
        <w:rPr>
          <w:rFonts w:ascii="Ubuntu" w:hAnsi="Ubuntu" w:cs="Tahoma"/>
        </w:rPr>
        <w:t xml:space="preserve"> nahráním dat, jejich kontrolou a testováním nové aplikace po zkušebním importu a na úrovni všech uživatelských rolí a služeb, zdokumentování migrace, akceptace testovacího procesu migrace. Po provedení úspěšného testování se teprve provede následně ostrá migrace dat, ověření úplnosti migrace, ověření v rutinním provozu, zdokumentování migrace, akceptace.</w:t>
      </w:r>
    </w:p>
    <w:p w14:paraId="0F9666AD" w14:textId="77777777"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Ke všem migračním procesům dat budou zpracovány migrační protokoly. Obsah migračních protokolů z pohledu metodiky záznamu bude stanoven v Exit plánu.</w:t>
      </w:r>
    </w:p>
    <w:p w14:paraId="17EDAFAD" w14:textId="7DC40EA3"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 xml:space="preserve">Poskytovatel se zavazuje zajistit migraci dat a poskytnout služby </w:t>
      </w:r>
      <w:r w:rsidR="009F1653">
        <w:rPr>
          <w:rFonts w:ascii="Ubuntu" w:hAnsi="Ubuntu" w:cs="Tahoma"/>
        </w:rPr>
        <w:t>E</w:t>
      </w:r>
      <w:r w:rsidRPr="00513A4B">
        <w:rPr>
          <w:rFonts w:ascii="Ubuntu" w:hAnsi="Ubuntu" w:cs="Tahoma"/>
        </w:rPr>
        <w:t xml:space="preserve">xit plánu ve smyslu této </w:t>
      </w:r>
      <w:r w:rsidR="009F1653">
        <w:rPr>
          <w:rFonts w:ascii="Ubuntu" w:hAnsi="Ubuntu" w:cs="Tahoma"/>
        </w:rPr>
        <w:t>p</w:t>
      </w:r>
      <w:r w:rsidRPr="00513A4B">
        <w:rPr>
          <w:rFonts w:ascii="Ubuntu" w:hAnsi="Ubuntu" w:cs="Tahoma"/>
        </w:rPr>
        <w:t>řílohy.</w:t>
      </w:r>
      <w:r w:rsidR="00FD2881" w:rsidRPr="00FD2881">
        <w:rPr>
          <w:rFonts w:ascii="Ubuntu" w:hAnsi="Ubuntu" w:cs="Tahoma"/>
        </w:rPr>
        <w:t xml:space="preserve"> </w:t>
      </w:r>
      <w:r w:rsidR="00FD2881" w:rsidRPr="00513A4B">
        <w:rPr>
          <w:rFonts w:ascii="Ubuntu" w:hAnsi="Ubuntu" w:cs="Tahoma"/>
        </w:rPr>
        <w:t>Proces a služby migrace dat se uplatní v plném rozsahu nebo v částečném rozsahu</w:t>
      </w:r>
      <w:r w:rsidR="00FD2881">
        <w:rPr>
          <w:rFonts w:ascii="Ubuntu" w:hAnsi="Ubuntu" w:cs="Tahoma"/>
        </w:rPr>
        <w:t xml:space="preserve"> na základě odsouhlasené změny </w:t>
      </w:r>
      <w:r w:rsidR="00FD2881" w:rsidRPr="00513A4B">
        <w:rPr>
          <w:rFonts w:ascii="Ubuntu" w:hAnsi="Ubuntu" w:cs="Tahoma"/>
        </w:rPr>
        <w:t xml:space="preserve">Exit plánu. Poskytovatel </w:t>
      </w:r>
      <w:r w:rsidR="00FD2881">
        <w:rPr>
          <w:rFonts w:ascii="Ubuntu" w:hAnsi="Ubuntu" w:cs="Tahoma"/>
        </w:rPr>
        <w:t>odpovídá za</w:t>
      </w:r>
      <w:r w:rsidR="00FD2881" w:rsidRPr="00513A4B">
        <w:rPr>
          <w:rFonts w:ascii="Ubuntu" w:hAnsi="Ubuntu" w:cs="Tahoma"/>
        </w:rPr>
        <w:t xml:space="preserve"> kompletní zajištění migrace dat včetně vyčerpávající dokumentace.</w:t>
      </w:r>
    </w:p>
    <w:p w14:paraId="14793580" w14:textId="77777777"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Objednatel se zavazuje poskytnout pro zajištění migrace dat a poskytnutí služby migrace dat Poskytovateli potřebnou součinnost a příp. zajistit součinnost třetích stran.</w:t>
      </w:r>
    </w:p>
    <w:p w14:paraId="09062514" w14:textId="245931FD"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Možné případy migrace:</w:t>
      </w:r>
      <w:r w:rsidR="00FD2881">
        <w:rPr>
          <w:rFonts w:ascii="Ubuntu" w:hAnsi="Ubuntu" w:cs="Tahoma"/>
        </w:rPr>
        <w:t xml:space="preserve"> </w:t>
      </w:r>
    </w:p>
    <w:p w14:paraId="4BC91EDF" w14:textId="5584586E" w:rsidR="00DA74D4" w:rsidRPr="00513A4B" w:rsidRDefault="00DA74D4" w:rsidP="00DA74D4">
      <w:pPr>
        <w:numPr>
          <w:ilvl w:val="2"/>
          <w:numId w:val="1"/>
        </w:numPr>
        <w:spacing w:after="120" w:line="276" w:lineRule="auto"/>
        <w:ind w:left="1418" w:hanging="709"/>
        <w:jc w:val="both"/>
        <w:rPr>
          <w:rFonts w:ascii="Ubuntu" w:hAnsi="Ubuntu" w:cs="Tahoma"/>
        </w:rPr>
      </w:pPr>
      <w:r w:rsidRPr="00513A4B">
        <w:rPr>
          <w:rFonts w:ascii="Ubuntu" w:hAnsi="Ubuntu" w:cs="Tahoma"/>
        </w:rPr>
        <w:t xml:space="preserve">Objednatel nahrazuje původní informační systém novým informačním systémem z objektivních důvodů. </w:t>
      </w:r>
    </w:p>
    <w:p w14:paraId="7DB22A19" w14:textId="77777777" w:rsidR="00DA74D4" w:rsidRPr="00513A4B" w:rsidRDefault="00DA74D4" w:rsidP="00DA74D4">
      <w:pPr>
        <w:numPr>
          <w:ilvl w:val="1"/>
          <w:numId w:val="1"/>
        </w:numPr>
        <w:spacing w:after="120" w:line="276" w:lineRule="auto"/>
        <w:ind w:left="709" w:hanging="709"/>
        <w:jc w:val="both"/>
        <w:rPr>
          <w:rFonts w:ascii="Ubuntu" w:hAnsi="Ubuntu" w:cs="Tahoma"/>
        </w:rPr>
      </w:pPr>
      <w:r w:rsidRPr="00513A4B">
        <w:rPr>
          <w:rFonts w:ascii="Ubuntu" w:hAnsi="Ubuntu" w:cs="Tahoma"/>
        </w:rPr>
        <w:t>Detailní popis migračních procesů a služeb migrace bude obsažen v Exit plánu na základě provedené Analýzy exitového požadavku.</w:t>
      </w:r>
    </w:p>
    <w:p w14:paraId="37060029" w14:textId="54C01C7B" w:rsidR="002960F7" w:rsidRDefault="002960F7">
      <w:pPr>
        <w:rPr>
          <w:rFonts w:ascii="Ubuntu" w:hAnsi="Ubuntu"/>
        </w:rPr>
      </w:pPr>
    </w:p>
    <w:p w14:paraId="69116D41" w14:textId="3A3BE43E" w:rsidR="00064C9B" w:rsidRDefault="00064C9B">
      <w:pPr>
        <w:rPr>
          <w:rFonts w:ascii="Ubuntu" w:hAnsi="Ubuntu"/>
        </w:rPr>
      </w:pPr>
    </w:p>
    <w:p w14:paraId="270E72BF" w14:textId="77777777" w:rsidR="00064C9B" w:rsidRDefault="00064C9B" w:rsidP="00064C9B">
      <w:pPr>
        <w:pStyle w:val="Odstavecseseznamem"/>
        <w:jc w:val="center"/>
        <w:rPr>
          <w:rFonts w:ascii="Ubuntu" w:hAnsi="Ubuntu"/>
          <w:i/>
          <w:iCs/>
          <w:sz w:val="20"/>
          <w:szCs w:val="20"/>
        </w:rPr>
      </w:pPr>
      <w:r>
        <w:rPr>
          <w:rFonts w:ascii="Ubuntu" w:hAnsi="Ubuntu"/>
          <w:i/>
          <w:iCs/>
          <w:sz w:val="20"/>
          <w:szCs w:val="20"/>
        </w:rPr>
        <w:t>Tento dokument byl vytvořen pouze pro potřeby tohoto zadávacího řízení a specificky na míru požadavkům objednatele. S ohledem na skutečnost, že se jedná o dílo ve smyslu zákona č. 121/2000 Sb., o právu autorském, o právech souvisejících s právem autorským a o změně některých zákonů (autorský zákon), je možné toto dílo použít způsoby uvedenými v § 12 a násl. autorského zákona pouze se souhlasem zpracovatele.</w:t>
      </w:r>
    </w:p>
    <w:p w14:paraId="26AFE110" w14:textId="77777777" w:rsidR="00064C9B" w:rsidRPr="00513A4B" w:rsidRDefault="00064C9B">
      <w:pPr>
        <w:rPr>
          <w:rFonts w:ascii="Ubuntu" w:hAnsi="Ubuntu"/>
        </w:rPr>
      </w:pPr>
    </w:p>
    <w:sectPr w:rsidR="00064C9B" w:rsidRPr="00513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071B"/>
    <w:multiLevelType w:val="multilevel"/>
    <w:tmpl w:val="9CC007B2"/>
    <w:lvl w:ilvl="0">
      <w:start w:val="1"/>
      <w:numFmt w:val="decimal"/>
      <w:lvlText w:val="%1."/>
      <w:lvlJc w:val="left"/>
      <w:pPr>
        <w:ind w:left="360" w:hanging="360"/>
      </w:pPr>
      <w:rPr>
        <w:rFonts w:asciiTheme="minorHAnsi" w:hAnsiTheme="minorHAnsi" w:cstheme="minorHAnsi" w:hint="default"/>
        <w:b/>
        <w:i w:val="0"/>
        <w:caps w:val="0"/>
        <w:strike w:val="0"/>
        <w:dstrike w:val="0"/>
        <w:vanish w:val="0"/>
        <w:sz w:val="22"/>
        <w:szCs w:val="22"/>
        <w:vertAlign w:val="baseline"/>
      </w:rPr>
    </w:lvl>
    <w:lvl w:ilvl="1">
      <w:start w:val="1"/>
      <w:numFmt w:val="decimal"/>
      <w:lvlText w:val="%1.%2."/>
      <w:lvlJc w:val="left"/>
      <w:pPr>
        <w:ind w:left="792" w:hanging="432"/>
      </w:pPr>
      <w:rPr>
        <w:rFonts w:asciiTheme="minorHAnsi" w:hAnsiTheme="minorHAnsi" w:cstheme="minorHAnsi" w:hint="default"/>
        <w:b w:val="0"/>
        <w:i w:val="0"/>
        <w:sz w:val="22"/>
        <w:szCs w:val="22"/>
      </w:rPr>
    </w:lvl>
    <w:lvl w:ilvl="2">
      <w:start w:val="1"/>
      <w:numFmt w:val="decimal"/>
      <w:lvlText w:val="%1.%2.%3."/>
      <w:lvlJc w:val="left"/>
      <w:pPr>
        <w:ind w:left="1224" w:hanging="504"/>
      </w:pPr>
      <w:rPr>
        <w:rFonts w:hint="default"/>
        <w:b w:val="0"/>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D43AA9"/>
    <w:multiLevelType w:val="multilevel"/>
    <w:tmpl w:val="959E5124"/>
    <w:lvl w:ilvl="0">
      <w:start w:val="1"/>
      <w:numFmt w:val="decimal"/>
      <w:lvlText w:val="%1."/>
      <w:lvlJc w:val="left"/>
      <w:pPr>
        <w:ind w:left="360" w:hanging="360"/>
      </w:pPr>
      <w:rPr>
        <w:rFonts w:asciiTheme="minorHAnsi" w:hAnsiTheme="minorHAnsi" w:cstheme="minorHAnsi" w:hint="default"/>
        <w:b/>
        <w:i w:val="0"/>
        <w:caps w:val="0"/>
        <w:strike w:val="0"/>
        <w:dstrike w:val="0"/>
        <w:vanish w:val="0"/>
        <w:sz w:val="22"/>
        <w:szCs w:val="22"/>
        <w:vertAlign w:val="baseline"/>
      </w:rPr>
    </w:lvl>
    <w:lvl w:ilvl="1">
      <w:start w:val="1"/>
      <w:numFmt w:val="decimal"/>
      <w:lvlText w:val="%1.%2."/>
      <w:lvlJc w:val="left"/>
      <w:pPr>
        <w:ind w:left="792" w:hanging="432"/>
      </w:pPr>
      <w:rPr>
        <w:rFonts w:asciiTheme="minorHAnsi" w:hAnsiTheme="minorHAnsi" w:cstheme="minorHAnsi" w:hint="default"/>
        <w:b w:val="0"/>
        <w:i w:val="0"/>
        <w:sz w:val="22"/>
        <w:szCs w:val="22"/>
      </w:rPr>
    </w:lvl>
    <w:lvl w:ilvl="2">
      <w:start w:val="1"/>
      <w:numFmt w:val="decimal"/>
      <w:lvlText w:val="%1.%2.%3."/>
      <w:lvlJc w:val="left"/>
      <w:pPr>
        <w:ind w:left="1224" w:hanging="504"/>
      </w:pPr>
      <w:rPr>
        <w:rFonts w:hint="default"/>
        <w:b w:val="0"/>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9CB32B8"/>
    <w:multiLevelType w:val="multilevel"/>
    <w:tmpl w:val="CDE42F4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i w:val="0"/>
        <w:sz w:val="24"/>
        <w:szCs w:val="24"/>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5D3F2B"/>
    <w:multiLevelType w:val="multilevel"/>
    <w:tmpl w:val="22662E0E"/>
    <w:lvl w:ilvl="0">
      <w:start w:val="1"/>
      <w:numFmt w:val="decimal"/>
      <w:lvlText w:val="%1."/>
      <w:lvlJc w:val="left"/>
      <w:pPr>
        <w:ind w:left="360" w:hanging="360"/>
      </w:pPr>
      <w:rPr>
        <w:rFonts w:asciiTheme="minorHAnsi" w:hAnsiTheme="minorHAnsi" w:cstheme="minorHAnsi" w:hint="default"/>
        <w:b/>
        <w:i w:val="0"/>
        <w:caps w:val="0"/>
        <w:strike w:val="0"/>
        <w:dstrike w:val="0"/>
        <w:vanish w:val="0"/>
        <w:sz w:val="22"/>
        <w:szCs w:val="22"/>
        <w:vertAlign w:val="baseline"/>
      </w:rPr>
    </w:lvl>
    <w:lvl w:ilvl="1">
      <w:start w:val="1"/>
      <w:numFmt w:val="decimal"/>
      <w:lvlText w:val="%1.%2."/>
      <w:lvlJc w:val="left"/>
      <w:pPr>
        <w:ind w:left="792" w:hanging="432"/>
      </w:pPr>
      <w:rPr>
        <w:rFonts w:asciiTheme="minorHAnsi" w:hAnsiTheme="minorHAnsi" w:cstheme="minorHAnsi" w:hint="default"/>
        <w:b w:val="0"/>
        <w:i w:val="0"/>
        <w:sz w:val="22"/>
        <w:szCs w:val="22"/>
      </w:rPr>
    </w:lvl>
    <w:lvl w:ilvl="2">
      <w:start w:val="1"/>
      <w:numFmt w:val="decimal"/>
      <w:lvlText w:val="%1.%2.%3."/>
      <w:lvlJc w:val="left"/>
      <w:pPr>
        <w:ind w:left="1224" w:hanging="504"/>
      </w:pPr>
      <w:rPr>
        <w:rFonts w:hint="default"/>
        <w:b w:val="0"/>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E825E76"/>
    <w:multiLevelType w:val="multilevel"/>
    <w:tmpl w:val="3F343332"/>
    <w:lvl w:ilvl="0">
      <w:start w:val="1"/>
      <w:numFmt w:val="decimal"/>
      <w:lvlText w:val="%1."/>
      <w:lvlJc w:val="left"/>
      <w:pPr>
        <w:ind w:left="360" w:hanging="360"/>
      </w:pPr>
      <w:rPr>
        <w:rFonts w:asciiTheme="minorHAnsi" w:hAnsiTheme="minorHAnsi" w:cstheme="minorHAnsi" w:hint="default"/>
        <w:b/>
        <w:i w:val="0"/>
        <w:caps w:val="0"/>
        <w:strike w:val="0"/>
        <w:dstrike w:val="0"/>
        <w:vanish w:val="0"/>
        <w:sz w:val="22"/>
        <w:szCs w:val="22"/>
        <w:vertAlign w:val="baseline"/>
      </w:rPr>
    </w:lvl>
    <w:lvl w:ilvl="1">
      <w:start w:val="1"/>
      <w:numFmt w:val="decimal"/>
      <w:lvlText w:val="%1.%2."/>
      <w:lvlJc w:val="left"/>
      <w:pPr>
        <w:ind w:left="792" w:hanging="432"/>
      </w:pPr>
      <w:rPr>
        <w:rFonts w:asciiTheme="minorHAnsi" w:hAnsiTheme="minorHAnsi" w:cstheme="minorHAnsi" w:hint="default"/>
        <w:b w:val="0"/>
        <w:i w:val="0"/>
        <w:sz w:val="22"/>
        <w:szCs w:val="22"/>
      </w:rPr>
    </w:lvl>
    <w:lvl w:ilvl="2">
      <w:start w:val="1"/>
      <w:numFmt w:val="decimal"/>
      <w:lvlText w:val="%1.%2.%3."/>
      <w:lvlJc w:val="left"/>
      <w:pPr>
        <w:ind w:left="1224" w:hanging="504"/>
      </w:pPr>
      <w:rPr>
        <w:rFonts w:hint="default"/>
        <w:b w:val="0"/>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6546878">
    <w:abstractNumId w:val="2"/>
  </w:num>
  <w:num w:numId="2" w16cid:durableId="1352027555">
    <w:abstractNumId w:val="3"/>
  </w:num>
  <w:num w:numId="3" w16cid:durableId="1388381790">
    <w:abstractNumId w:val="4"/>
  </w:num>
  <w:num w:numId="4" w16cid:durableId="1933777429">
    <w:abstractNumId w:val="0"/>
  </w:num>
  <w:num w:numId="5" w16cid:durableId="709500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D4"/>
    <w:rsid w:val="00013DCE"/>
    <w:rsid w:val="00024CF0"/>
    <w:rsid w:val="00052E7A"/>
    <w:rsid w:val="00064C9B"/>
    <w:rsid w:val="00073ECA"/>
    <w:rsid w:val="000838F4"/>
    <w:rsid w:val="00090C0B"/>
    <w:rsid w:val="000C2EBC"/>
    <w:rsid w:val="000C520E"/>
    <w:rsid w:val="001248FE"/>
    <w:rsid w:val="00126236"/>
    <w:rsid w:val="0014482D"/>
    <w:rsid w:val="001613BF"/>
    <w:rsid w:val="00166BEA"/>
    <w:rsid w:val="001D214E"/>
    <w:rsid w:val="001D73E7"/>
    <w:rsid w:val="001F64B4"/>
    <w:rsid w:val="002235B4"/>
    <w:rsid w:val="002434A5"/>
    <w:rsid w:val="002527CE"/>
    <w:rsid w:val="002960F7"/>
    <w:rsid w:val="002B5B46"/>
    <w:rsid w:val="00304041"/>
    <w:rsid w:val="0030436C"/>
    <w:rsid w:val="0031565B"/>
    <w:rsid w:val="0032065E"/>
    <w:rsid w:val="00377A7B"/>
    <w:rsid w:val="0039023B"/>
    <w:rsid w:val="003C6872"/>
    <w:rsid w:val="003F343C"/>
    <w:rsid w:val="004256CB"/>
    <w:rsid w:val="00463AFF"/>
    <w:rsid w:val="004B099B"/>
    <w:rsid w:val="004F064E"/>
    <w:rsid w:val="004F16E8"/>
    <w:rsid w:val="0051090E"/>
    <w:rsid w:val="00512466"/>
    <w:rsid w:val="00513A4B"/>
    <w:rsid w:val="005261B9"/>
    <w:rsid w:val="005427EC"/>
    <w:rsid w:val="00570B01"/>
    <w:rsid w:val="00586158"/>
    <w:rsid w:val="00586FF2"/>
    <w:rsid w:val="005C74CF"/>
    <w:rsid w:val="005F605C"/>
    <w:rsid w:val="00603616"/>
    <w:rsid w:val="006112CE"/>
    <w:rsid w:val="00614EA2"/>
    <w:rsid w:val="00617ADD"/>
    <w:rsid w:val="00695FDC"/>
    <w:rsid w:val="006B7E33"/>
    <w:rsid w:val="006D2BA3"/>
    <w:rsid w:val="007342C0"/>
    <w:rsid w:val="00737CA8"/>
    <w:rsid w:val="0074354E"/>
    <w:rsid w:val="007A7CB1"/>
    <w:rsid w:val="007B0A10"/>
    <w:rsid w:val="007B7E9E"/>
    <w:rsid w:val="00825A38"/>
    <w:rsid w:val="0086643C"/>
    <w:rsid w:val="00876479"/>
    <w:rsid w:val="008A595C"/>
    <w:rsid w:val="008A60B9"/>
    <w:rsid w:val="008F2CF4"/>
    <w:rsid w:val="00914A87"/>
    <w:rsid w:val="00962948"/>
    <w:rsid w:val="00975255"/>
    <w:rsid w:val="009B6162"/>
    <w:rsid w:val="009E5CD7"/>
    <w:rsid w:val="009F1653"/>
    <w:rsid w:val="00A57373"/>
    <w:rsid w:val="00A72771"/>
    <w:rsid w:val="00A74D0E"/>
    <w:rsid w:val="00AA3FD3"/>
    <w:rsid w:val="00AC7216"/>
    <w:rsid w:val="00AD7678"/>
    <w:rsid w:val="00B05CC8"/>
    <w:rsid w:val="00B060E2"/>
    <w:rsid w:val="00B13F6E"/>
    <w:rsid w:val="00B318D4"/>
    <w:rsid w:val="00B50217"/>
    <w:rsid w:val="00B60923"/>
    <w:rsid w:val="00B74D6E"/>
    <w:rsid w:val="00B909A9"/>
    <w:rsid w:val="00BE0B12"/>
    <w:rsid w:val="00BE4186"/>
    <w:rsid w:val="00BF08D9"/>
    <w:rsid w:val="00C13E6F"/>
    <w:rsid w:val="00C33E4C"/>
    <w:rsid w:val="00CA0C69"/>
    <w:rsid w:val="00CE1D28"/>
    <w:rsid w:val="00D46EE5"/>
    <w:rsid w:val="00D96829"/>
    <w:rsid w:val="00DA0B27"/>
    <w:rsid w:val="00DA74D4"/>
    <w:rsid w:val="00DB29E5"/>
    <w:rsid w:val="00E346D5"/>
    <w:rsid w:val="00EC6743"/>
    <w:rsid w:val="00ED012A"/>
    <w:rsid w:val="00EF334E"/>
    <w:rsid w:val="00F77E7A"/>
    <w:rsid w:val="00F93D7B"/>
    <w:rsid w:val="00FD2881"/>
    <w:rsid w:val="00FE2B24"/>
    <w:rsid w:val="12859B15"/>
    <w:rsid w:val="4072AD74"/>
    <w:rsid w:val="46223CC7"/>
    <w:rsid w:val="4BEBBD9F"/>
    <w:rsid w:val="648DD54B"/>
    <w:rsid w:val="7775A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3FD4"/>
  <w15:chartTrackingRefBased/>
  <w15:docId w15:val="{CC10288A-0EAE-42EE-B771-3EB7E27F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FD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uiPriority w:val="9"/>
    <w:qFormat/>
    <w:rsid w:val="00513A4B"/>
    <w:pPr>
      <w:keepNext/>
      <w:keepLines/>
      <w:spacing w:before="240" w:after="47"/>
      <w:outlineLvl w:val="0"/>
    </w:pPr>
    <w:rPr>
      <w:rFonts w:eastAsia="Arial" w:cstheme="minorHAnsi"/>
      <w:b/>
      <w:color w:val="5B9BD5" w:themeColor="accent1"/>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
    <w:basedOn w:val="Normln"/>
    <w:link w:val="OdstavecseseznamemChar"/>
    <w:uiPriority w:val="34"/>
    <w:qFormat/>
    <w:rsid w:val="00DA74D4"/>
    <w:pPr>
      <w:ind w:left="708"/>
    </w:p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DA74D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13A4B"/>
    <w:rPr>
      <w:rFonts w:eastAsia="Arial" w:cstheme="minorHAnsi"/>
      <w:b/>
      <w:color w:val="5B9BD5" w:themeColor="accent1"/>
      <w:sz w:val="32"/>
      <w:szCs w:val="32"/>
      <w:lang w:eastAsia="cs-CZ"/>
    </w:rPr>
  </w:style>
  <w:style w:type="character" w:styleId="Odkaznakoment">
    <w:name w:val="annotation reference"/>
    <w:basedOn w:val="Standardnpsmoodstavce"/>
    <w:uiPriority w:val="99"/>
    <w:semiHidden/>
    <w:unhideWhenUsed/>
    <w:rsid w:val="00B318D4"/>
    <w:rPr>
      <w:sz w:val="16"/>
      <w:szCs w:val="16"/>
    </w:rPr>
  </w:style>
  <w:style w:type="paragraph" w:styleId="Textkomente">
    <w:name w:val="annotation text"/>
    <w:basedOn w:val="Normln"/>
    <w:link w:val="TextkomenteChar"/>
    <w:uiPriority w:val="99"/>
    <w:unhideWhenUsed/>
    <w:rsid w:val="00B318D4"/>
    <w:rPr>
      <w:sz w:val="20"/>
      <w:szCs w:val="20"/>
    </w:rPr>
  </w:style>
  <w:style w:type="character" w:customStyle="1" w:styleId="TextkomenteChar">
    <w:name w:val="Text komentáře Char"/>
    <w:basedOn w:val="Standardnpsmoodstavce"/>
    <w:link w:val="Textkomente"/>
    <w:uiPriority w:val="99"/>
    <w:rsid w:val="00B318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318D4"/>
    <w:rPr>
      <w:b/>
      <w:bCs/>
    </w:rPr>
  </w:style>
  <w:style w:type="character" w:customStyle="1" w:styleId="PedmtkomenteChar">
    <w:name w:val="Předmět komentáře Char"/>
    <w:basedOn w:val="TextkomenteChar"/>
    <w:link w:val="Pedmtkomente"/>
    <w:uiPriority w:val="99"/>
    <w:semiHidden/>
    <w:rsid w:val="00B318D4"/>
    <w:rPr>
      <w:rFonts w:ascii="Times New Roman" w:eastAsia="Times New Roman" w:hAnsi="Times New Roman" w:cs="Times New Roman"/>
      <w:b/>
      <w:bCs/>
      <w:sz w:val="20"/>
      <w:szCs w:val="20"/>
      <w:lang w:eastAsia="cs-CZ"/>
    </w:rPr>
  </w:style>
  <w:style w:type="paragraph" w:styleId="Revize">
    <w:name w:val="Revision"/>
    <w:hidden/>
    <w:uiPriority w:val="99"/>
    <w:semiHidden/>
    <w:rsid w:val="004B099B"/>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C08DD70F65804887828093AFCC1227" ma:contentTypeVersion="4" ma:contentTypeDescription="Vytvoří nový dokument" ma:contentTypeScope="" ma:versionID="4c9e95581bbf01c7ef90e15f62d993e7">
  <xsd:schema xmlns:xsd="http://www.w3.org/2001/XMLSchema" xmlns:xs="http://www.w3.org/2001/XMLSchema" xmlns:p="http://schemas.microsoft.com/office/2006/metadata/properties" xmlns:ns2="e5930cb9-7cf7-4ee7-8797-2afb68af0c32" targetNamespace="http://schemas.microsoft.com/office/2006/metadata/properties" ma:root="true" ma:fieldsID="47cd525f98f4df11ea3e74c10e66a7f1" ns2:_="">
    <xsd:import namespace="e5930cb9-7cf7-4ee7-8797-2afb68af0c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0cb9-7cf7-4ee7-8797-2afb68af0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E40D-D368-4DFB-82A2-91D8CEFCA3C5}">
  <ds:schemaRefs>
    <ds:schemaRef ds:uri="http://schemas.microsoft.com/sharepoint/v3/contenttype/forms"/>
  </ds:schemaRefs>
</ds:datastoreItem>
</file>

<file path=customXml/itemProps2.xml><?xml version="1.0" encoding="utf-8"?>
<ds:datastoreItem xmlns:ds="http://schemas.openxmlformats.org/officeDocument/2006/customXml" ds:itemID="{92DE5D18-6B06-4BD5-A702-39F039A7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30cb9-7cf7-4ee7-8797-2afb68af0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839AE-DA7B-42BD-A084-F0B771BC2F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5930cb9-7cf7-4ee7-8797-2afb68af0c32"/>
    <ds:schemaRef ds:uri="http://www.w3.org/XML/1998/namespace"/>
    <ds:schemaRef ds:uri="http://purl.org/dc/dcmitype/"/>
  </ds:schemaRefs>
</ds:datastoreItem>
</file>

<file path=customXml/itemProps4.xml><?xml version="1.0" encoding="utf-8"?>
<ds:datastoreItem xmlns:ds="http://schemas.openxmlformats.org/officeDocument/2006/customXml" ds:itemID="{DE6453D1-D216-400D-8D9D-ED060B70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1956</Words>
  <Characters>11547</Characters>
  <Application>Microsoft Office Word</Application>
  <DocSecurity>0</DocSecurity>
  <Lines>96</Lines>
  <Paragraphs>26</Paragraphs>
  <ScaleCrop>false</ScaleCrop>
  <Company>ŘSD ČR</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Bolerazký Michal Ing.</dc:creator>
  <cp:keywords/>
  <dc:description/>
  <cp:lastModifiedBy>Mazáčová Petra</cp:lastModifiedBy>
  <cp:revision>88</cp:revision>
  <dcterms:created xsi:type="dcterms:W3CDTF">2022-08-11T10:39:00Z</dcterms:created>
  <dcterms:modified xsi:type="dcterms:W3CDTF">2025-02-26T14:13:00Z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0x01010055C08DD70F65804887828093AFCC1227</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2025-02-07T08:26:41Z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a22dcb36-4d31-48c2-9113-03ae81aa8fd3</vt:lpwstr>
  </property>
  <property fmtid="{D5CDD505-2E9C-101B-9397-08002B2CF9AE}" pid="10" name="MSIP_Label_690ebb53-23a2-471a-9c6e-17bd0d11311e_ContentBits">
    <vt:lpwstr>0</vt:lpwstr>
  </property>
</Properties>
</file>