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Pr="00F911C6" w:rsidRDefault="00A865E8" w:rsidP="00DB57A1">
      <w:pPr>
        <w:numPr>
          <w:ilvl w:val="0"/>
          <w:numId w:val="5"/>
        </w:numPr>
        <w:spacing w:after="120"/>
        <w:contextualSpacing/>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w:t>
      </w:r>
      <w:r w:rsidRPr="00F911C6">
        <w:rPr>
          <w:rFonts w:asciiTheme="minorHAnsi" w:hAnsiTheme="minorHAnsi" w:cstheme="minorHAnsi"/>
          <w:szCs w:val="22"/>
        </w:rPr>
        <w:lastRenderedPageBreak/>
        <w:t>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5209D939"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do 1</w:t>
      </w:r>
      <w:r w:rsidR="00633646">
        <w:rPr>
          <w:rFonts w:asciiTheme="minorHAnsi" w:hAnsiTheme="minorHAnsi" w:cstheme="minorHAnsi"/>
          <w:b/>
          <w:bCs/>
          <w:szCs w:val="22"/>
        </w:rPr>
        <w:t>00</w:t>
      </w:r>
      <w:r w:rsidR="00633646" w:rsidRPr="00F55D14">
        <w:rPr>
          <w:rFonts w:asciiTheme="minorHAnsi" w:hAnsiTheme="minorHAnsi" w:cstheme="minorHAnsi"/>
          <w:b/>
          <w:bCs/>
          <w:szCs w:val="22"/>
        </w:rPr>
        <w:t xml:space="preserve"> 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lastRenderedPageBreak/>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0E3CFBCF"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120 dnů od účinnosti S</w:t>
      </w:r>
      <w:r>
        <w:rPr>
          <w:rFonts w:asciiTheme="minorHAnsi" w:hAnsiTheme="minorHAnsi" w:cstheme="minorHAnsi"/>
          <w:b/>
          <w:bCs/>
          <w:szCs w:val="22"/>
        </w:rPr>
        <w:t>O</w:t>
      </w:r>
      <w:r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w:t>
      </w:r>
      <w:r w:rsidR="00C431BF" w:rsidRPr="00F911C6">
        <w:rPr>
          <w:rFonts w:asciiTheme="minorHAnsi" w:hAnsiTheme="minorHAnsi" w:cstheme="minorHAnsi"/>
          <w:szCs w:val="22"/>
        </w:rPr>
        <w:lastRenderedPageBreak/>
        <w:t>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lastRenderedPageBreak/>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lastRenderedPageBreak/>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lastRenderedPageBreak/>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0612C4"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0612C4" w:rsidRPr="00EC2685" w:rsidRDefault="000612C4" w:rsidP="000612C4">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1DFB230D" w:rsidR="000612C4" w:rsidRPr="00EC2685" w:rsidRDefault="000612C4" w:rsidP="000612C4">
            <w:pPr>
              <w:rPr>
                <w:rFonts w:cs="Calibri"/>
                <w:szCs w:val="22"/>
              </w:rPr>
            </w:pPr>
            <w:r>
              <w:rPr>
                <w:rFonts w:cs="Calibri"/>
                <w:szCs w:val="22"/>
              </w:rPr>
              <w:t>Střední škola gastronomie, hotelnictví a lesnictví Bzenec,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2E4685B9" w:rsidR="000612C4" w:rsidRPr="00EC2685" w:rsidRDefault="000612C4" w:rsidP="000612C4">
            <w:pPr>
              <w:rPr>
                <w:rFonts w:cs="Calibri"/>
                <w:szCs w:val="22"/>
              </w:rPr>
            </w:pPr>
            <w:r>
              <w:rPr>
                <w:rFonts w:cs="Calibri"/>
                <w:szCs w:val="22"/>
              </w:rPr>
              <w:t>Vinařů 354, 696 81 Bzenec</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1E2D9D8B" w:rsidR="000612C4" w:rsidRPr="00EC2685" w:rsidRDefault="000612C4" w:rsidP="000612C4">
            <w:pPr>
              <w:jc w:val="center"/>
              <w:rPr>
                <w:rFonts w:cs="Calibri"/>
                <w:szCs w:val="22"/>
              </w:rPr>
            </w:pPr>
            <w:r>
              <w:rPr>
                <w:rFonts w:cs="Calibri"/>
                <w:szCs w:val="22"/>
              </w:rPr>
              <w:t>859182400200828270</w:t>
            </w:r>
          </w:p>
        </w:tc>
      </w:tr>
      <w:tr w:rsidR="000612C4"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0612C4" w:rsidRPr="00EC2685" w:rsidRDefault="000612C4" w:rsidP="000612C4">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754B2DC9" w:rsidR="000612C4" w:rsidRPr="00EC2685" w:rsidRDefault="000612C4" w:rsidP="000612C4">
            <w:pPr>
              <w:rPr>
                <w:rFonts w:cs="Calibri"/>
                <w:szCs w:val="22"/>
              </w:rPr>
            </w:pPr>
            <w:r>
              <w:rPr>
                <w:rFonts w:cs="Calibri"/>
                <w:szCs w:val="22"/>
              </w:rPr>
              <w:t>Střední škola polytechnická Hustopeče,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0A76A198" w:rsidR="000612C4" w:rsidRPr="00EC2685" w:rsidRDefault="000612C4" w:rsidP="000612C4">
            <w:pPr>
              <w:rPr>
                <w:rFonts w:cs="Calibri"/>
                <w:szCs w:val="22"/>
              </w:rPr>
            </w:pPr>
            <w:r>
              <w:rPr>
                <w:rFonts w:cs="Calibri"/>
                <w:szCs w:val="22"/>
              </w:rPr>
              <w:t>Masarykovo nám. 136/1, 693 01 Hustopeče</w:t>
            </w:r>
          </w:p>
        </w:tc>
        <w:tc>
          <w:tcPr>
            <w:tcW w:w="2780" w:type="dxa"/>
            <w:tcBorders>
              <w:top w:val="nil"/>
              <w:left w:val="nil"/>
              <w:bottom w:val="single" w:sz="4" w:space="0" w:color="auto"/>
              <w:right w:val="single" w:sz="4" w:space="0" w:color="auto"/>
            </w:tcBorders>
            <w:shd w:val="clear" w:color="auto" w:fill="auto"/>
            <w:vAlign w:val="center"/>
            <w:hideMark/>
          </w:tcPr>
          <w:p w14:paraId="7C2F99F5" w14:textId="27504C04" w:rsidR="000612C4" w:rsidRPr="00EC2685" w:rsidRDefault="000612C4" w:rsidP="000612C4">
            <w:pPr>
              <w:jc w:val="center"/>
              <w:rPr>
                <w:rFonts w:cs="Calibri"/>
                <w:szCs w:val="22"/>
              </w:rPr>
            </w:pPr>
            <w:r>
              <w:rPr>
                <w:rFonts w:cs="Calibri"/>
                <w:szCs w:val="22"/>
              </w:rPr>
              <w:t>859182400200381126</w:t>
            </w:r>
          </w:p>
        </w:tc>
      </w:tr>
      <w:tr w:rsidR="000612C4"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0612C4" w:rsidRPr="00EC2685" w:rsidRDefault="000612C4" w:rsidP="000612C4">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47C466F6" w:rsidR="000612C4" w:rsidRPr="00EC2685" w:rsidRDefault="000612C4" w:rsidP="000612C4">
            <w:pPr>
              <w:rPr>
                <w:rFonts w:cs="Calibri"/>
                <w:szCs w:val="22"/>
              </w:rPr>
            </w:pPr>
            <w:r>
              <w:rPr>
                <w:rFonts w:cs="Calibri"/>
                <w:szCs w:val="22"/>
              </w:rPr>
              <w:t>Střední škola průmyslová a umělecká Hodonín,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50D5E828" w:rsidR="000612C4" w:rsidRPr="00EC2685" w:rsidRDefault="000612C4" w:rsidP="000612C4">
            <w:pPr>
              <w:rPr>
                <w:rFonts w:cs="Calibri"/>
                <w:szCs w:val="22"/>
              </w:rPr>
            </w:pPr>
            <w:r>
              <w:rPr>
                <w:rFonts w:cs="Calibri"/>
                <w:szCs w:val="22"/>
              </w:rPr>
              <w:t>Brandlova 2222/32, 695 01 Hodonín</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3A780016" w:rsidR="000612C4" w:rsidRPr="00EC2685" w:rsidRDefault="000612C4" w:rsidP="000612C4">
            <w:pPr>
              <w:jc w:val="center"/>
              <w:rPr>
                <w:rFonts w:cs="Calibri"/>
                <w:szCs w:val="22"/>
              </w:rPr>
            </w:pPr>
            <w:r>
              <w:rPr>
                <w:rFonts w:cs="Calibri"/>
                <w:szCs w:val="22"/>
              </w:rPr>
              <w:t>859182400200758911</w:t>
            </w:r>
          </w:p>
        </w:tc>
      </w:tr>
      <w:tr w:rsidR="000612C4"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0612C4" w:rsidRPr="00EC2685" w:rsidRDefault="000612C4" w:rsidP="000612C4">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575B3B8E" w:rsidR="000612C4" w:rsidRPr="00EC2685" w:rsidRDefault="000612C4" w:rsidP="000612C4">
            <w:pPr>
              <w:rPr>
                <w:rFonts w:cs="Calibri"/>
                <w:szCs w:val="22"/>
              </w:rPr>
            </w:pPr>
            <w:r>
              <w:rPr>
                <w:rFonts w:cs="Calibri"/>
                <w:szCs w:val="22"/>
              </w:rPr>
              <w:t>Domov pro seniory Hustopeče,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01342DC3" w:rsidR="000612C4" w:rsidRPr="00EC2685" w:rsidRDefault="000612C4" w:rsidP="000612C4">
            <w:pPr>
              <w:rPr>
                <w:rFonts w:cs="Calibri"/>
                <w:szCs w:val="22"/>
              </w:rPr>
            </w:pPr>
            <w:r>
              <w:rPr>
                <w:rFonts w:cs="Calibri"/>
                <w:szCs w:val="22"/>
              </w:rPr>
              <w:t>Hybešova 1497/7, 693 01 Hustopeče</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39B4C6D2" w:rsidR="000612C4" w:rsidRPr="00EC2685" w:rsidRDefault="000612C4" w:rsidP="000612C4">
            <w:pPr>
              <w:jc w:val="center"/>
              <w:rPr>
                <w:rFonts w:cs="Calibri"/>
                <w:szCs w:val="22"/>
              </w:rPr>
            </w:pPr>
            <w:r>
              <w:rPr>
                <w:rFonts w:cs="Calibri"/>
                <w:szCs w:val="22"/>
              </w:rPr>
              <w:t>859182400220375723</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2C4"/>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4E9"/>
    <w:rsid w:val="00794694"/>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078"/>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6166</Words>
  <Characters>36382</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5</cp:revision>
  <cp:lastPrinted>2024-07-16T08:02:00Z</cp:lastPrinted>
  <dcterms:created xsi:type="dcterms:W3CDTF">2025-03-31T14:57:00Z</dcterms:created>
  <dcterms:modified xsi:type="dcterms:W3CDTF">2025-04-02T16:40:00Z</dcterms:modified>
</cp:coreProperties>
</file>