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30D3697B"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1D728F" w:rsidRPr="001D728F">
        <w:rPr>
          <w:rFonts w:asciiTheme="majorHAnsi" w:eastAsia="Times New Roman" w:hAnsiTheme="majorHAnsi" w:cstheme="majorHAnsi"/>
          <w:b/>
          <w:bCs/>
          <w:sz w:val="22"/>
          <w:szCs w:val="22"/>
          <w:lang w:val="cs-CZ" w:eastAsia="cs-CZ"/>
        </w:rPr>
        <w:t>Flexibilní endoskop + optický okruh ORL</w:t>
      </w:r>
      <w:r w:rsidR="00602E66">
        <w:t xml:space="preserve"> </w:t>
      </w:r>
      <w:r w:rsidR="00602E66" w:rsidRPr="00602E66">
        <w:rPr>
          <w:rFonts w:asciiTheme="majorHAnsi" w:eastAsia="Times New Roman" w:hAnsiTheme="majorHAnsi" w:cstheme="majorHAnsi"/>
          <w:b/>
          <w:bCs/>
          <w:sz w:val="22"/>
          <w:szCs w:val="22"/>
          <w:lang w:val="cs-CZ" w:eastAsia="cs-CZ"/>
        </w:rPr>
        <w:t>- část 1 - flexibilní endoskop a optický okruh</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77D73F27"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2E734F">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2E734F">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1D728F" w:rsidRPr="001D728F">
        <w:rPr>
          <w:rFonts w:asciiTheme="majorHAnsi" w:eastAsia="Times New Roman" w:hAnsiTheme="majorHAnsi" w:cstheme="majorHAnsi"/>
          <w:b/>
          <w:bCs/>
          <w:sz w:val="22"/>
          <w:szCs w:val="22"/>
          <w:u w:val="single"/>
          <w:lang w:val="cs-CZ" w:eastAsia="cs-CZ"/>
        </w:rPr>
        <w:t xml:space="preserve">Flexibilní endoskop + optický okruh </w:t>
      </w:r>
      <w:r w:rsidR="00AD4EA7" w:rsidRPr="00AD4EA7">
        <w:rPr>
          <w:rFonts w:asciiTheme="majorHAnsi" w:eastAsia="Times New Roman" w:hAnsiTheme="majorHAnsi" w:cstheme="majorHAnsi"/>
          <w:sz w:val="22"/>
          <w:szCs w:val="22"/>
          <w:lang w:val="cs-CZ" w:eastAsia="cs-CZ"/>
        </w:rPr>
        <w:t>s veškerým potřebným a nezbytným příslušenstvím (dále také jen jako „</w:t>
      </w:r>
      <w:r w:rsidR="00AD4EA7" w:rsidRPr="00AD4EA7">
        <w:rPr>
          <w:rFonts w:asciiTheme="majorHAnsi" w:eastAsia="Times New Roman" w:hAnsiTheme="majorHAnsi" w:cstheme="majorHAnsi"/>
          <w:b/>
          <w:bCs/>
          <w:sz w:val="22"/>
          <w:szCs w:val="22"/>
          <w:lang w:val="cs-CZ" w:eastAsia="cs-CZ"/>
        </w:rPr>
        <w:t>zboží</w:t>
      </w:r>
      <w:r w:rsidR="00AD4EA7" w:rsidRPr="00AD4EA7">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883040">
        <w:rPr>
          <w:rFonts w:asciiTheme="majorHAnsi" w:hAnsiTheme="majorHAnsi" w:cstheme="majorHAnsi"/>
          <w:sz w:val="22"/>
          <w:szCs w:val="22"/>
        </w:rPr>
        <w:t xml:space="preserve">Předmětem této smlouvy je následující zboží: </w:t>
      </w:r>
    </w:p>
    <w:p w14:paraId="3888F014" w14:textId="7EF50D75" w:rsidR="008F130E" w:rsidRPr="00E62AE9" w:rsidRDefault="001D728F" w:rsidP="00353FE3">
      <w:pPr>
        <w:pStyle w:val="Odstavecseseznamem"/>
        <w:spacing w:before="120" w:after="120" w:line="240" w:lineRule="auto"/>
        <w:ind w:left="785"/>
        <w:contextualSpacing w:val="0"/>
        <w:jc w:val="both"/>
        <w:rPr>
          <w:rFonts w:asciiTheme="majorHAnsi" w:hAnsiTheme="majorHAnsi" w:cstheme="majorHAnsi"/>
          <w:highlight w:val="yellow"/>
        </w:rPr>
      </w:pPr>
      <w:r w:rsidRPr="001D728F">
        <w:rPr>
          <w:rFonts w:asciiTheme="majorHAnsi" w:hAnsiTheme="majorHAnsi" w:cstheme="majorHAnsi"/>
          <w:b/>
          <w:bCs/>
          <w:highlight w:val="yellow"/>
        </w:rPr>
        <w:t xml:space="preserve">Flexibilní endoskop + optický okruh </w:t>
      </w:r>
      <w:r w:rsidR="00F60BD0" w:rsidRPr="00E62AE9">
        <w:rPr>
          <w:rFonts w:asciiTheme="majorHAnsi" w:hAnsiTheme="majorHAnsi" w:cstheme="majorHAnsi"/>
          <w:i/>
          <w:highlight w:val="yellow"/>
        </w:rPr>
        <w:t>-</w:t>
      </w:r>
      <w:r w:rsidR="00AD4EA7">
        <w:rPr>
          <w:rFonts w:asciiTheme="majorHAnsi" w:hAnsiTheme="majorHAnsi" w:cstheme="majorHAnsi"/>
          <w:i/>
          <w:highlight w:val="yellow"/>
        </w:rPr>
        <w:t xml:space="preserve"> 1 </w:t>
      </w:r>
      <w:r w:rsidR="00353FE3" w:rsidRPr="00E62AE9">
        <w:rPr>
          <w:rFonts w:asciiTheme="majorHAnsi" w:hAnsiTheme="majorHAnsi" w:cstheme="majorHAnsi"/>
          <w:i/>
          <w:highlight w:val="yellow"/>
        </w:rPr>
        <w:t>ks,</w:t>
      </w:r>
      <w:r>
        <w:rPr>
          <w:rFonts w:asciiTheme="majorHAnsi" w:hAnsiTheme="majorHAnsi" w:cstheme="majorHAnsi"/>
          <w:i/>
          <w:highlight w:val="yellow"/>
        </w:rPr>
        <w:t xml:space="preserve"> </w:t>
      </w:r>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Query/Retrieve, Import/Export, Secodnary Capture, Worklist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zpracování a předání protokolu se stanovením třídy zdravotnického prostředku (I, IIa, IIb,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21EE5B7"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6BC7F202"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w:t>
      </w:r>
      <w:r w:rsidR="009934E5">
        <w:rPr>
          <w:rFonts w:asciiTheme="majorHAnsi" w:hAnsiTheme="majorHAnsi" w:cstheme="majorHAnsi"/>
          <w:sz w:val="22"/>
          <w:szCs w:val="22"/>
          <w:lang w:val="cs-CZ"/>
        </w:rPr>
        <w:t>o</w:t>
      </w:r>
      <w:r w:rsidRPr="00883040">
        <w:rPr>
          <w:rFonts w:asciiTheme="majorHAnsi" w:hAnsiTheme="majorHAnsi" w:cstheme="majorHAnsi"/>
          <w:sz w:val="22"/>
          <w:szCs w:val="22"/>
          <w:lang w:val="cs-CZ"/>
        </w:rPr>
        <w:t>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0BDEA70"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C15E11A" w14:textId="77777777" w:rsidR="00AD4EA7"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10086BBD" w14:textId="77777777" w:rsidR="00AD4EA7" w:rsidRPr="00883040"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6BF6B090"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1D728F" w:rsidRPr="001D728F">
        <w:rPr>
          <w:rFonts w:asciiTheme="majorHAnsi" w:hAnsiTheme="majorHAnsi" w:cstheme="majorHAnsi"/>
          <w:b/>
        </w:rPr>
        <w:t xml:space="preserve">Flexibilní endoskop + optický okruh  </w:t>
      </w:r>
      <w:r w:rsidR="00F60BD0" w:rsidRPr="00AD4EA7">
        <w:rPr>
          <w:rFonts w:asciiTheme="majorHAnsi" w:hAnsiTheme="majorHAnsi" w:cstheme="majorHAnsi"/>
          <w:b/>
        </w:rPr>
        <w:t xml:space="preserve">– </w:t>
      </w:r>
      <w:r w:rsidR="00AD4EA7" w:rsidRPr="00AD4EA7">
        <w:rPr>
          <w:rFonts w:asciiTheme="majorHAnsi" w:hAnsiTheme="majorHAnsi" w:cstheme="majorHAnsi"/>
          <w:b/>
        </w:rPr>
        <w:t xml:space="preserve">1 </w:t>
      </w:r>
      <w:r w:rsidR="00F60BD0" w:rsidRPr="00AD4EA7">
        <w:rPr>
          <w:rFonts w:asciiTheme="majorHAnsi" w:hAnsiTheme="majorHAnsi" w:cstheme="majorHAnsi"/>
          <w:b/>
        </w:rPr>
        <w:t>ks</w:t>
      </w:r>
    </w:p>
    <w:p w14:paraId="7BB00329" w14:textId="77777777" w:rsidR="008F130E" w:rsidRPr="00883040" w:rsidRDefault="008F130E" w:rsidP="008F130E">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Cena celkem bez DPH:</w:t>
      </w:r>
      <w:r w:rsidRPr="00883040">
        <w:rPr>
          <w:rFonts w:asciiTheme="majorHAnsi" w:hAnsiTheme="majorHAnsi" w:cstheme="majorHAnsi"/>
          <w:sz w:val="22"/>
          <w:szCs w:val="22"/>
        </w:rPr>
        <w:tab/>
      </w:r>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 Kč</w:t>
      </w:r>
    </w:p>
    <w:p w14:paraId="2A7623BF" w14:textId="77777777" w:rsidR="008F130E" w:rsidRPr="00883040" w:rsidRDefault="008F130E" w:rsidP="008F130E">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 Kč</w:t>
      </w:r>
    </w:p>
    <w:p w14:paraId="114626F0" w14:textId="77777777" w:rsidR="008F130E" w:rsidRPr="00883040" w:rsidRDefault="008F130E" w:rsidP="008F130E">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Cena včetně DPH:</w:t>
      </w:r>
      <w:r w:rsidRPr="00883040">
        <w:rPr>
          <w:rFonts w:asciiTheme="majorHAnsi" w:hAnsiTheme="majorHAnsi" w:cstheme="majorHAnsi"/>
          <w:b/>
          <w:sz w:val="22"/>
          <w:szCs w:val="22"/>
        </w:rPr>
        <w:tab/>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 Kč</w:t>
      </w:r>
    </w:p>
    <w:p w14:paraId="4B5082C7" w14:textId="77777777"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(slovy: </w:t>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53562CC"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602E66">
        <w:rPr>
          <w:rFonts w:asciiTheme="majorHAnsi" w:eastAsia="Times New Roman" w:hAnsiTheme="majorHAnsi" w:cstheme="majorHAnsi"/>
          <w:b/>
          <w:u w:val="single"/>
          <w:lang w:eastAsia="cs-CZ"/>
        </w:rPr>
        <w:t>do</w:t>
      </w:r>
      <w:r w:rsidR="002E10A8" w:rsidRPr="00602E66">
        <w:rPr>
          <w:rFonts w:asciiTheme="majorHAnsi" w:eastAsia="Times New Roman" w:hAnsiTheme="majorHAnsi" w:cstheme="majorHAnsi"/>
          <w:b/>
          <w:u w:val="single"/>
          <w:lang w:eastAsia="cs-CZ"/>
        </w:rPr>
        <w:t xml:space="preserve"> </w:t>
      </w:r>
      <w:r w:rsidR="00602E66" w:rsidRPr="00602E66">
        <w:rPr>
          <w:rFonts w:asciiTheme="majorHAnsi" w:eastAsia="Times New Roman" w:hAnsiTheme="majorHAnsi" w:cstheme="majorHAnsi"/>
          <w:b/>
          <w:u w:val="single"/>
          <w:lang w:eastAsia="cs-CZ"/>
        </w:rPr>
        <w:t>6</w:t>
      </w:r>
      <w:r w:rsidR="006013E2" w:rsidRPr="00602E66">
        <w:rPr>
          <w:rFonts w:asciiTheme="majorHAnsi" w:eastAsia="Times New Roman" w:hAnsiTheme="majorHAnsi" w:cstheme="majorHAnsi"/>
          <w:b/>
          <w:u w:val="single"/>
          <w:lang w:eastAsia="cs-CZ"/>
        </w:rPr>
        <w:t xml:space="preserve"> týdnů</w:t>
      </w:r>
      <w:r w:rsidR="00950815" w:rsidRPr="006013E2">
        <w:rPr>
          <w:rFonts w:asciiTheme="majorHAnsi" w:eastAsia="Times New Roman" w:hAnsiTheme="majorHAnsi" w:cstheme="majorHAnsi"/>
          <w:b/>
          <w:lang w:eastAsia="cs-CZ"/>
        </w:rPr>
        <w:t xml:space="preserve"> od</w:t>
      </w:r>
      <w:r w:rsidR="00B03E0D" w:rsidRPr="006013E2">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6B96F172"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6013E2">
        <w:rPr>
          <w:rFonts w:asciiTheme="majorHAnsi" w:eastAsia="Times New Roman" w:hAnsiTheme="majorHAnsi" w:cstheme="majorHAnsi"/>
          <w:lang w:eastAsia="cs-CZ"/>
        </w:rPr>
        <w:t>ORL,</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7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03038B1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w:t>
      </w:r>
      <w:r w:rsidRPr="00883040">
        <w:rPr>
          <w:rFonts w:asciiTheme="majorHAnsi" w:eastAsia="Times New Roman" w:hAnsiTheme="majorHAnsi" w:cstheme="majorHAnsi"/>
          <w:lang w:eastAsia="cs-CZ"/>
        </w:rPr>
        <w:lastRenderedPageBreak/>
        <w:t xml:space="preserve">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2F698915"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6765C1">
        <w:rPr>
          <w:rFonts w:asciiTheme="majorHAnsi" w:hAnsiTheme="majorHAnsi" w:cstheme="majorHAnsi"/>
        </w:rPr>
        <w:t>dvaceti čtyř (24)</w:t>
      </w:r>
      <w:r w:rsidRPr="00883040">
        <w:rPr>
          <w:rFonts w:asciiTheme="majorHAnsi" w:hAnsiTheme="majorHAnsi" w:cstheme="majorHAnsi"/>
        </w:rPr>
        <w:t xml:space="preserve">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3029224F"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AF3855">
        <w:rPr>
          <w:rFonts w:asciiTheme="majorHAnsi" w:hAnsiTheme="majorHAnsi" w:cstheme="majorHAnsi"/>
          <w:sz w:val="22"/>
          <w:szCs w:val="22"/>
          <w:lang w:val="cs-CZ"/>
        </w:rPr>
        <w:t>8</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3049CF" w:rsidRDefault="003220DA"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lang w:val="cs-CZ"/>
        </w:rPr>
        <w:t>Prodávající</w:t>
      </w:r>
      <w:r w:rsidR="006549D0" w:rsidRPr="003049CF">
        <w:rPr>
          <w:rFonts w:asciiTheme="majorHAnsi" w:hAnsiTheme="majorHAnsi" w:cstheme="majorHAnsi"/>
          <w:sz w:val="22"/>
          <w:szCs w:val="22"/>
        </w:rPr>
        <w:t xml:space="preserve"> může od této smlouvy odstoupit v případě, že přes písemnou výzvu adresovanou </w:t>
      </w:r>
      <w:r w:rsidRPr="003049CF">
        <w:rPr>
          <w:rFonts w:asciiTheme="majorHAnsi" w:hAnsiTheme="majorHAnsi" w:cstheme="majorHAnsi"/>
          <w:sz w:val="22"/>
          <w:szCs w:val="22"/>
        </w:rPr>
        <w:t>Kupující</w:t>
      </w:r>
      <w:r w:rsidR="006549D0" w:rsidRPr="003049CF">
        <w:rPr>
          <w:rFonts w:asciiTheme="majorHAnsi" w:hAnsiTheme="majorHAnsi" w:cstheme="majorHAnsi"/>
          <w:sz w:val="22"/>
          <w:szCs w:val="22"/>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3049CF">
        <w:rPr>
          <w:rFonts w:asciiTheme="majorHAnsi" w:hAnsiTheme="majorHAnsi" w:cstheme="majorHAnsi"/>
          <w:sz w:val="22"/>
          <w:szCs w:val="22"/>
        </w:rPr>
        <w:t>.</w:t>
      </w:r>
    </w:p>
    <w:p w14:paraId="4EC4F60B" w14:textId="77777777" w:rsidR="003049CF" w:rsidRPr="003049CF" w:rsidRDefault="003049CF" w:rsidP="003049CF">
      <w:pPr>
        <w:widowControl w:val="0"/>
        <w:ind w:left="539"/>
        <w:jc w:val="both"/>
        <w:rPr>
          <w:rFonts w:asciiTheme="majorHAnsi" w:hAnsiTheme="majorHAnsi" w:cstheme="majorHAnsi"/>
          <w:sz w:val="22"/>
          <w:szCs w:val="22"/>
        </w:rPr>
      </w:pPr>
    </w:p>
    <w:p w14:paraId="53425C99" w14:textId="11AD93E1" w:rsidR="006549D0" w:rsidRPr="003049CF" w:rsidRDefault="006549D0"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rPr>
        <w:t>V </w:t>
      </w:r>
      <w:r w:rsidRPr="003049CF">
        <w:rPr>
          <w:rFonts w:asciiTheme="majorHAnsi" w:hAnsiTheme="majorHAnsi" w:cstheme="majorHAnsi"/>
          <w:sz w:val="22"/>
          <w:szCs w:val="22"/>
          <w:lang w:val="cs-CZ"/>
        </w:rPr>
        <w:t>případě</w:t>
      </w:r>
      <w:r w:rsidRPr="003049CF">
        <w:rPr>
          <w:rFonts w:asciiTheme="majorHAnsi" w:hAnsiTheme="majorHAnsi" w:cstheme="majorHAnsi"/>
          <w:sz w:val="22"/>
          <w:szCs w:val="22"/>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AD566E6"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r w:rsidR="00602E66">
        <w:rPr>
          <w:rFonts w:asciiTheme="majorHAnsi" w:eastAsia="Times New Roman" w:hAnsiTheme="majorHAnsi" w:cstheme="majorHAnsi"/>
          <w:sz w:val="22"/>
          <w:szCs w:val="22"/>
          <w:lang w:val="cs-CZ" w:eastAsia="cs-CZ"/>
        </w:rPr>
        <w:t>Kateřina Brunclíková</w:t>
      </w:r>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4F1AB383"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r w:rsidR="00602E66" w:rsidRPr="00602E66">
        <w:rPr>
          <w:rFonts w:asciiTheme="majorHAnsi" w:eastAsia="Times New Roman" w:hAnsiTheme="majorHAnsi" w:cstheme="majorHAnsi"/>
          <w:sz w:val="22"/>
          <w:szCs w:val="22"/>
          <w:lang w:val="cs-CZ" w:eastAsia="cs-CZ"/>
        </w:rPr>
        <w:t>723</w:t>
      </w:r>
      <w:r w:rsidR="00602E66">
        <w:rPr>
          <w:rFonts w:asciiTheme="majorHAnsi" w:eastAsia="Times New Roman" w:hAnsiTheme="majorHAnsi" w:cstheme="majorHAnsi"/>
          <w:sz w:val="22"/>
          <w:szCs w:val="22"/>
          <w:lang w:val="cs-CZ" w:eastAsia="cs-CZ"/>
        </w:rPr>
        <w:t> </w:t>
      </w:r>
      <w:r w:rsidR="00602E66" w:rsidRPr="00602E66">
        <w:rPr>
          <w:rFonts w:asciiTheme="majorHAnsi" w:eastAsia="Times New Roman" w:hAnsiTheme="majorHAnsi" w:cstheme="majorHAnsi"/>
          <w:sz w:val="22"/>
          <w:szCs w:val="22"/>
          <w:lang w:val="cs-CZ" w:eastAsia="cs-CZ"/>
        </w:rPr>
        <w:t>241</w:t>
      </w:r>
      <w:r w:rsidR="00602E66">
        <w:rPr>
          <w:rFonts w:asciiTheme="majorHAnsi" w:eastAsia="Times New Roman" w:hAnsiTheme="majorHAnsi" w:cstheme="majorHAnsi"/>
          <w:sz w:val="22"/>
          <w:szCs w:val="22"/>
          <w:lang w:val="cs-CZ" w:eastAsia="cs-CZ"/>
        </w:rPr>
        <w:t xml:space="preserve"> </w:t>
      </w:r>
      <w:r w:rsidR="00602E66" w:rsidRPr="00602E66">
        <w:rPr>
          <w:rFonts w:asciiTheme="majorHAnsi" w:eastAsia="Times New Roman" w:hAnsiTheme="majorHAnsi" w:cstheme="majorHAnsi"/>
          <w:sz w:val="22"/>
          <w:szCs w:val="22"/>
          <w:lang w:val="cs-CZ" w:eastAsia="cs-CZ"/>
        </w:rPr>
        <w:t>074</w:t>
      </w:r>
      <w:r w:rsidR="006765C1">
        <w:rPr>
          <w:rFonts w:asciiTheme="majorHAnsi" w:eastAsia="Times New Roman" w:hAnsiTheme="majorHAnsi" w:cstheme="majorHAnsi"/>
          <w:sz w:val="22"/>
          <w:szCs w:val="22"/>
          <w:lang w:val="cs-CZ" w:eastAsia="cs-CZ"/>
        </w:rPr>
        <w:t xml:space="preserve">, 518 601 </w:t>
      </w:r>
      <w:r w:rsidR="00602E66">
        <w:rPr>
          <w:rFonts w:asciiTheme="majorHAnsi" w:eastAsia="Times New Roman" w:hAnsiTheme="majorHAnsi" w:cstheme="majorHAnsi"/>
          <w:sz w:val="22"/>
          <w:szCs w:val="22"/>
          <w:lang w:val="cs-CZ" w:eastAsia="cs-CZ"/>
        </w:rPr>
        <w:t>014</w:t>
      </w:r>
    </w:p>
    <w:p w14:paraId="34F8B91C" w14:textId="420F3464"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hyperlink r:id="rId9" w:history="1">
        <w:r w:rsidR="00EB7597" w:rsidRPr="001E24E0">
          <w:rPr>
            <w:rStyle w:val="Hypertextovodkaz"/>
            <w:rFonts w:asciiTheme="majorHAnsi" w:eastAsia="Times New Roman" w:hAnsiTheme="majorHAnsi" w:cstheme="majorHAnsi"/>
            <w:sz w:val="22"/>
            <w:szCs w:val="22"/>
            <w:lang w:val="cs-CZ" w:eastAsia="cs-CZ"/>
          </w:rPr>
          <w:t>brunclikova.katerina@nemkyj.cz</w:t>
        </w:r>
      </w:hyperlink>
      <w:r w:rsidR="006765C1">
        <w:rPr>
          <w:rFonts w:asciiTheme="majorHAnsi" w:eastAsia="Times New Roman" w:hAnsiTheme="majorHAnsi" w:cstheme="majorHAnsi"/>
          <w:sz w:val="22"/>
          <w:szCs w:val="22"/>
          <w:lang w:val="cs-CZ" w:eastAsia="cs-CZ"/>
        </w:rPr>
        <w:t xml:space="preserve"> </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F64BF" w:rsidRDefault="001F64BF" w:rsidP="001F64BF">
      <w:pPr>
        <w:widowControl w:val="0"/>
        <w:ind w:left="0"/>
        <w:jc w:val="both"/>
        <w:rPr>
          <w:rFonts w:asciiTheme="majorHAnsi" w:hAnsiTheme="majorHAnsi" w:cstheme="majorHAnsi"/>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1F64BF" w:rsidRDefault="001F64BF" w:rsidP="001F64BF">
      <w:pPr>
        <w:widowControl w:val="0"/>
        <w:ind w:left="0"/>
        <w:jc w:val="both"/>
        <w:rPr>
          <w:rFonts w:asciiTheme="majorHAnsi" w:hAnsiTheme="majorHAnsi" w:cstheme="majorHAnsi"/>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7C515C" w:rsidRDefault="007C515C" w:rsidP="007C515C">
      <w:pPr>
        <w:widowControl w:val="0"/>
        <w:ind w:left="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že některá ze smluvních stran nemůže plnit své povinnosti v důsledku případu vyšší moci, je povinna informovat druhou smluvní stranu o tomto případu vyšší moci neprodleně poté, co se o vzniku </w:t>
      </w:r>
      <w:r w:rsidRPr="00883040">
        <w:rPr>
          <w:rFonts w:asciiTheme="majorHAnsi" w:hAnsiTheme="majorHAnsi" w:cstheme="majorHAnsi"/>
          <w:sz w:val="22"/>
          <w:szCs w:val="22"/>
          <w:lang w:val="cs-CZ"/>
        </w:rPr>
        <w:lastRenderedPageBreak/>
        <w:t>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8"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8"/>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9"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9"/>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r w:rsidRPr="00883040">
      <w:rPr>
        <w:rFonts w:asciiTheme="majorHAnsi" w:hAnsiTheme="majorHAnsi" w:cstheme="majorHAnsi"/>
        <w:b/>
      </w:rPr>
      <w:t>Číslo smlouvy prodávajícího:</w:t>
    </w:r>
    <w:r w:rsidRPr="00883040">
      <w:rPr>
        <w:rFonts w:asciiTheme="majorHAnsi" w:hAnsiTheme="majorHAnsi" w:cstheme="majorHAnsi"/>
        <w:b/>
      </w:rPr>
      <w:tab/>
      <w:t xml:space="preserve">                                      Číslo smlouvy kupujícího:</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1538C4D8" w:rsidR="0057231D" w:rsidRDefault="0057231D" w:rsidP="0057231D">
    <w:pPr>
      <w:tabs>
        <w:tab w:val="left" w:pos="2127"/>
        <w:tab w:val="left" w:pos="3613"/>
      </w:tabs>
      <w:rPr>
        <w:rFonts w:asciiTheme="majorHAnsi" w:hAnsiTheme="majorHAnsi" w:cstheme="majorHAnsi"/>
        <w:bCs/>
        <w:sz w:val="16"/>
        <w:szCs w:val="16"/>
      </w:rPr>
    </w:pPr>
    <w:r w:rsidRPr="00883040">
      <w:rPr>
        <w:rFonts w:asciiTheme="majorHAnsi" w:hAnsiTheme="majorHAnsi" w:cstheme="majorHAnsi"/>
        <w:b/>
        <w:sz w:val="16"/>
        <w:szCs w:val="16"/>
      </w:rPr>
      <w:t>Název veřejné zakázky</w:t>
    </w:r>
    <w:r w:rsidRPr="00883040">
      <w:rPr>
        <w:rFonts w:asciiTheme="majorHAnsi" w:hAnsiTheme="majorHAnsi" w:cstheme="majorHAnsi"/>
        <w:bCs/>
        <w:sz w:val="16"/>
        <w:szCs w:val="16"/>
      </w:rPr>
      <w:t xml:space="preserve">: </w:t>
    </w:r>
    <w:bookmarkStart w:id="10" w:name="_Hlk185582315"/>
    <w:r w:rsidR="001D728F" w:rsidRPr="001D728F">
      <w:rPr>
        <w:rFonts w:asciiTheme="majorHAnsi" w:hAnsiTheme="majorHAnsi" w:cstheme="majorHAnsi"/>
        <w:bCs/>
        <w:sz w:val="16"/>
        <w:szCs w:val="16"/>
      </w:rPr>
      <w:t>Flexibilní endoskop + optický okruh ORL</w:t>
    </w:r>
    <w:bookmarkEnd w:id="10"/>
  </w:p>
  <w:p w14:paraId="10603D1D" w14:textId="313BA757" w:rsidR="00602E66" w:rsidRPr="00883040" w:rsidRDefault="00602E66" w:rsidP="0057231D">
    <w:pPr>
      <w:tabs>
        <w:tab w:val="left" w:pos="2127"/>
        <w:tab w:val="left" w:pos="3613"/>
      </w:tabs>
      <w:rPr>
        <w:rFonts w:asciiTheme="majorHAnsi" w:hAnsiTheme="majorHAnsi" w:cstheme="majorHAnsi"/>
        <w:bCs/>
        <w:sz w:val="16"/>
        <w:szCs w:val="16"/>
      </w:rPr>
    </w:pPr>
    <w:r w:rsidRPr="00602E66">
      <w:rPr>
        <w:rFonts w:asciiTheme="majorHAnsi" w:hAnsiTheme="majorHAnsi" w:cstheme="majorHAnsi"/>
        <w:b/>
        <w:sz w:val="16"/>
        <w:szCs w:val="16"/>
      </w:rPr>
      <w:t>Část veřejné zakázky</w:t>
    </w:r>
    <w:r w:rsidRPr="00602E66">
      <w:rPr>
        <w:rFonts w:asciiTheme="majorHAnsi" w:hAnsiTheme="majorHAnsi" w:cstheme="majorHAnsi"/>
        <w:bCs/>
        <w:sz w:val="16"/>
        <w:szCs w:val="16"/>
      </w:rPr>
      <w:t>: Část 1</w:t>
    </w:r>
  </w:p>
  <w:p w14:paraId="748D7E8B" w14:textId="4DA6B07D" w:rsidR="0057231D" w:rsidRPr="00602E66" w:rsidRDefault="0057231D" w:rsidP="00602E66">
    <w:pPr>
      <w:pStyle w:val="Zhlav"/>
      <w:tabs>
        <w:tab w:val="left" w:pos="2127"/>
        <w:tab w:val="left" w:pos="5103"/>
      </w:tabs>
      <w:spacing w:after="240"/>
      <w:rPr>
        <w:rFonts w:asciiTheme="majorHAnsi" w:hAnsiTheme="majorHAnsi" w:cstheme="majorHAnsi"/>
        <w:b/>
        <w:sz w:val="16"/>
        <w:szCs w:val="16"/>
      </w:rPr>
    </w:pPr>
    <w:r w:rsidRPr="00883040">
      <w:rPr>
        <w:rFonts w:asciiTheme="majorHAnsi" w:hAnsiTheme="majorHAnsi" w:cstheme="majorHAnsi"/>
        <w:b/>
        <w:sz w:val="16"/>
        <w:szCs w:val="16"/>
      </w:rPr>
      <w:t xml:space="preserve">Číslo veřejné zakázky: </w:t>
    </w:r>
    <w:r w:rsidR="00AD4EA7">
      <w:rPr>
        <w:rFonts w:asciiTheme="majorHAnsi" w:hAnsiTheme="majorHAnsi" w:cstheme="majorHAnsi"/>
        <w:b/>
        <w:sz w:val="16"/>
        <w:szCs w:val="16"/>
      </w:rPr>
      <w:t>VZ202</w:t>
    </w:r>
    <w:r w:rsidR="001D728F">
      <w:rPr>
        <w:rFonts w:asciiTheme="majorHAnsi" w:hAnsiTheme="majorHAnsi" w:cstheme="majorHAnsi"/>
        <w:b/>
        <w:sz w:val="16"/>
        <w:szCs w:val="16"/>
      </w:rPr>
      <w:t>502</w:t>
    </w:r>
    <w:r w:rsidR="00D342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8"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1"/>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7"/>
  </w:num>
  <w:num w:numId="9" w16cid:durableId="990250573">
    <w:abstractNumId w:val="35"/>
  </w:num>
  <w:num w:numId="10" w16cid:durableId="1418407385">
    <w:abstractNumId w:val="25"/>
  </w:num>
  <w:num w:numId="11" w16cid:durableId="1078284091">
    <w:abstractNumId w:val="33"/>
  </w:num>
  <w:num w:numId="12" w16cid:durableId="279994269">
    <w:abstractNumId w:val="12"/>
  </w:num>
  <w:num w:numId="13" w16cid:durableId="1146320241">
    <w:abstractNumId w:val="22"/>
  </w:num>
  <w:num w:numId="14" w16cid:durableId="1675721610">
    <w:abstractNumId w:val="8"/>
  </w:num>
  <w:num w:numId="15" w16cid:durableId="1328828430">
    <w:abstractNumId w:val="31"/>
  </w:num>
  <w:num w:numId="16" w16cid:durableId="1212771092">
    <w:abstractNumId w:val="40"/>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6"/>
  </w:num>
  <w:num w:numId="25" w16cid:durableId="973488633">
    <w:abstractNumId w:val="27"/>
  </w:num>
  <w:num w:numId="26" w16cid:durableId="1010640799">
    <w:abstractNumId w:val="39"/>
  </w:num>
  <w:num w:numId="27" w16cid:durableId="1027409852">
    <w:abstractNumId w:val="18"/>
  </w:num>
  <w:num w:numId="28" w16cid:durableId="294718209">
    <w:abstractNumId w:val="20"/>
  </w:num>
  <w:num w:numId="29" w16cid:durableId="1083792773">
    <w:abstractNumId w:val="42"/>
  </w:num>
  <w:num w:numId="30" w16cid:durableId="39018009">
    <w:abstractNumId w:val="23"/>
  </w:num>
  <w:num w:numId="31" w16cid:durableId="1216048295">
    <w:abstractNumId w:val="29"/>
  </w:num>
  <w:num w:numId="32" w16cid:durableId="1012955523">
    <w:abstractNumId w:val="34"/>
  </w:num>
  <w:num w:numId="33" w16cid:durableId="1623460720">
    <w:abstractNumId w:val="17"/>
  </w:num>
  <w:num w:numId="34" w16cid:durableId="1045906074">
    <w:abstractNumId w:val="4"/>
  </w:num>
  <w:num w:numId="35" w16cid:durableId="1900938530">
    <w:abstractNumId w:val="38"/>
  </w:num>
  <w:num w:numId="36" w16cid:durableId="1807773919">
    <w:abstractNumId w:val="1"/>
  </w:num>
  <w:num w:numId="37" w16cid:durableId="189682162">
    <w:abstractNumId w:val="15"/>
  </w:num>
  <w:num w:numId="38" w16cid:durableId="1267422793">
    <w:abstractNumId w:val="32"/>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4BD"/>
    <w:rsid w:val="00077E68"/>
    <w:rsid w:val="000805D0"/>
    <w:rsid w:val="00081499"/>
    <w:rsid w:val="00082A43"/>
    <w:rsid w:val="00086455"/>
    <w:rsid w:val="000870B9"/>
    <w:rsid w:val="00090F83"/>
    <w:rsid w:val="0009537F"/>
    <w:rsid w:val="00095A0A"/>
    <w:rsid w:val="00095F0E"/>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1A4C"/>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6B2B"/>
    <w:rsid w:val="00167852"/>
    <w:rsid w:val="00167FE5"/>
    <w:rsid w:val="00170291"/>
    <w:rsid w:val="00170A57"/>
    <w:rsid w:val="001724F6"/>
    <w:rsid w:val="0017407E"/>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B99"/>
    <w:rsid w:val="001C26A9"/>
    <w:rsid w:val="001C2A85"/>
    <w:rsid w:val="001C74AE"/>
    <w:rsid w:val="001D0107"/>
    <w:rsid w:val="001D025B"/>
    <w:rsid w:val="001D097F"/>
    <w:rsid w:val="001D3137"/>
    <w:rsid w:val="001D5E85"/>
    <w:rsid w:val="001D609F"/>
    <w:rsid w:val="001D6F0D"/>
    <w:rsid w:val="001D728F"/>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4C7"/>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E734F"/>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12E3"/>
    <w:rsid w:val="003431A5"/>
    <w:rsid w:val="00345510"/>
    <w:rsid w:val="00346FC5"/>
    <w:rsid w:val="003509C2"/>
    <w:rsid w:val="00352240"/>
    <w:rsid w:val="00353FE3"/>
    <w:rsid w:val="0035560B"/>
    <w:rsid w:val="0035758C"/>
    <w:rsid w:val="003601BE"/>
    <w:rsid w:val="00360D69"/>
    <w:rsid w:val="00362304"/>
    <w:rsid w:val="00366834"/>
    <w:rsid w:val="003676F4"/>
    <w:rsid w:val="00371715"/>
    <w:rsid w:val="00371D43"/>
    <w:rsid w:val="003756D0"/>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65828"/>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13E2"/>
    <w:rsid w:val="00602E6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C1"/>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197E"/>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576"/>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B7FE4"/>
    <w:rsid w:val="008C0D08"/>
    <w:rsid w:val="008C1572"/>
    <w:rsid w:val="008C2788"/>
    <w:rsid w:val="008C3417"/>
    <w:rsid w:val="008C4404"/>
    <w:rsid w:val="008C4926"/>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34E5"/>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357E"/>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4EA7"/>
    <w:rsid w:val="00AD7DC2"/>
    <w:rsid w:val="00AE0BF4"/>
    <w:rsid w:val="00AE1008"/>
    <w:rsid w:val="00AE21B9"/>
    <w:rsid w:val="00AE3864"/>
    <w:rsid w:val="00AE5EA0"/>
    <w:rsid w:val="00AE7792"/>
    <w:rsid w:val="00AE79A1"/>
    <w:rsid w:val="00AF0806"/>
    <w:rsid w:val="00AF3855"/>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0CC"/>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9A7"/>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B7597"/>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rsid w:val="0067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nclikova.katerina@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5921</Words>
  <Characters>34938</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9</cp:revision>
  <dcterms:created xsi:type="dcterms:W3CDTF">2024-12-03T13:31:00Z</dcterms:created>
  <dcterms:modified xsi:type="dcterms:W3CDTF">2025-04-07T11:59:00Z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