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FBBED" w14:textId="77777777" w:rsidR="006D6F91" w:rsidRPr="007348FC" w:rsidRDefault="006D6F91" w:rsidP="006D6F91">
      <w:pPr>
        <w:rPr>
          <w:rFonts w:ascii="Cambria" w:hAnsi="Cambria"/>
          <w:sz w:val="20"/>
          <w:szCs w:val="20"/>
          <w:lang w:eastAsia="en-US"/>
        </w:rPr>
      </w:pPr>
      <w:r w:rsidRPr="007348FC">
        <w:rPr>
          <w:rFonts w:ascii="Cambria" w:hAnsi="Cambria"/>
          <w:sz w:val="20"/>
          <w:szCs w:val="20"/>
          <w:lang w:eastAsia="en-US"/>
        </w:rPr>
        <w:t>Příloha č. 1 k Příkazní smlouvě</w:t>
      </w:r>
    </w:p>
    <w:p w14:paraId="73B929B8" w14:textId="77777777" w:rsidR="006D6F91" w:rsidRPr="007348FC" w:rsidRDefault="00306A02" w:rsidP="006D6F91">
      <w:pPr>
        <w:keepNext/>
        <w:pBdr>
          <w:bottom w:val="single" w:sz="18" w:space="1" w:color="2E74B5" w:themeColor="accent1" w:themeShade="BF"/>
        </w:pBdr>
        <w:spacing w:before="240" w:after="60" w:line="276" w:lineRule="auto"/>
        <w:jc w:val="center"/>
        <w:outlineLvl w:val="0"/>
        <w:rPr>
          <w:rFonts w:ascii="Cambria" w:hAnsi="Cambria"/>
          <w:b/>
          <w:kern w:val="32"/>
          <w:sz w:val="32"/>
          <w:szCs w:val="32"/>
          <w:lang w:eastAsia="en-US"/>
        </w:rPr>
      </w:pPr>
      <w:r w:rsidRPr="007348FC">
        <w:rPr>
          <w:rFonts w:ascii="Cambria" w:hAnsi="Cambria"/>
          <w:b/>
          <w:kern w:val="32"/>
          <w:sz w:val="32"/>
          <w:szCs w:val="32"/>
          <w:lang w:eastAsia="en-US"/>
        </w:rPr>
        <w:t xml:space="preserve">ROZSAH ČINNOSTI A DALŠÍ PODMÍNKY VÝKONU TDI A BOZP </w:t>
      </w:r>
    </w:p>
    <w:p w14:paraId="218261A5" w14:textId="77777777" w:rsidR="006D6F91" w:rsidRPr="007348FC" w:rsidRDefault="006D6F91" w:rsidP="006D6F91">
      <w:pPr>
        <w:jc w:val="center"/>
        <w:rPr>
          <w:rFonts w:ascii="Cambria" w:hAnsi="Cambria"/>
          <w:sz w:val="22"/>
          <w:szCs w:val="22"/>
        </w:rPr>
      </w:pPr>
      <w:r w:rsidRPr="007348FC">
        <w:rPr>
          <w:rFonts w:ascii="Cambria" w:hAnsi="Cambria"/>
          <w:sz w:val="22"/>
          <w:szCs w:val="22"/>
        </w:rPr>
        <w:t>pro plnění veřejné zakázky na služby</w:t>
      </w:r>
    </w:p>
    <w:p w14:paraId="21E8CB17" w14:textId="77777777" w:rsidR="006D6F91" w:rsidRPr="007348FC" w:rsidRDefault="006D6F91" w:rsidP="006D6F91">
      <w:pPr>
        <w:jc w:val="center"/>
        <w:rPr>
          <w:rFonts w:ascii="Cambria" w:hAnsi="Cambria"/>
          <w:sz w:val="22"/>
          <w:szCs w:val="22"/>
        </w:rPr>
      </w:pPr>
      <w:r w:rsidRPr="007348FC">
        <w:rPr>
          <w:rFonts w:ascii="Cambria" w:hAnsi="Cambria"/>
          <w:sz w:val="22"/>
          <w:szCs w:val="22"/>
        </w:rPr>
        <w:t>zadávané jako zakázka malého rozsahu v uzavřené výzvě, mimo režim zákona č. 134/2016 Sb., o zadávání veřejných zakázek, ve znění pozdějších předpisů a v souladu s Pravidly pro reprodukci majetku a zadávání veřejných zakázek příspěvkových organizací</w:t>
      </w:r>
    </w:p>
    <w:p w14:paraId="7AC3E427" w14:textId="77777777" w:rsidR="006D6F91" w:rsidRPr="007348FC" w:rsidRDefault="006D6F91" w:rsidP="006D6F91">
      <w:pPr>
        <w:rPr>
          <w:rFonts w:ascii="Cambria" w:hAnsi="Cambria"/>
        </w:rPr>
      </w:pPr>
    </w:p>
    <w:p w14:paraId="4814B237" w14:textId="77777777" w:rsidR="006D6F91" w:rsidRPr="007348FC" w:rsidRDefault="006D6F91" w:rsidP="006D6F91">
      <w:pPr>
        <w:jc w:val="center"/>
        <w:rPr>
          <w:rFonts w:ascii="Cambria" w:hAnsi="Cambria"/>
          <w:lang w:eastAsia="en-US"/>
        </w:rPr>
      </w:pPr>
      <w:r w:rsidRPr="007348FC">
        <w:rPr>
          <w:rFonts w:ascii="Cambria" w:hAnsi="Cambria"/>
          <w:lang w:eastAsia="en-US"/>
        </w:rPr>
        <w:t>s názvem</w:t>
      </w:r>
    </w:p>
    <w:p w14:paraId="5D05C02B" w14:textId="1B2379B1" w:rsidR="008F2C10" w:rsidRPr="007348FC" w:rsidRDefault="006D6F91" w:rsidP="003F5268">
      <w:pPr>
        <w:spacing w:before="240" w:after="200"/>
        <w:jc w:val="center"/>
        <w:rPr>
          <w:rFonts w:ascii="Cambria" w:hAnsi="Cambria"/>
          <w:b/>
          <w:sz w:val="32"/>
          <w:szCs w:val="32"/>
        </w:rPr>
      </w:pPr>
      <w:bookmarkStart w:id="0" w:name="_Hlk101429860"/>
      <w:r w:rsidRPr="007348FC">
        <w:rPr>
          <w:rFonts w:ascii="Cambria" w:hAnsi="Cambria"/>
          <w:b/>
          <w:sz w:val="32"/>
          <w:szCs w:val="32"/>
        </w:rPr>
        <w:t xml:space="preserve"> „</w:t>
      </w:r>
      <w:bookmarkEnd w:id="0"/>
      <w:r w:rsidR="0039195C" w:rsidRPr="0039195C">
        <w:rPr>
          <w:rFonts w:ascii="Cambria" w:hAnsi="Cambria"/>
          <w:b/>
          <w:sz w:val="32"/>
          <w:szCs w:val="32"/>
        </w:rPr>
        <w:t xml:space="preserve">Řešení školního stravování (jídelny) a energetických úspor budovy dílen </w:t>
      </w:r>
      <w:r w:rsidR="007348FC" w:rsidRPr="007348FC">
        <w:rPr>
          <w:rFonts w:ascii="Cambria" w:hAnsi="Cambria"/>
          <w:b/>
          <w:sz w:val="32"/>
          <w:szCs w:val="32"/>
        </w:rPr>
        <w:t>– výkon TDI a koordinace BOZP</w:t>
      </w:r>
      <w:r w:rsidRPr="007348FC">
        <w:rPr>
          <w:rFonts w:ascii="Cambria" w:hAnsi="Cambria"/>
          <w:b/>
          <w:sz w:val="32"/>
          <w:szCs w:val="32"/>
        </w:rPr>
        <w:t>“</w:t>
      </w:r>
      <w:r w:rsidR="003F5268" w:rsidRPr="007348FC">
        <w:rPr>
          <w:rFonts w:ascii="Cambria" w:hAnsi="Cambria"/>
          <w:b/>
          <w:sz w:val="32"/>
          <w:szCs w:val="32"/>
        </w:rPr>
        <w:br/>
      </w:r>
    </w:p>
    <w:p w14:paraId="40AA29CE" w14:textId="77777777" w:rsidR="007A5659" w:rsidRPr="007348FC" w:rsidRDefault="007A5659" w:rsidP="007A5659">
      <w:pPr>
        <w:pBdr>
          <w:bottom w:val="single" w:sz="12" w:space="1" w:color="2E74B5" w:themeColor="accent1" w:themeShade="BF"/>
        </w:pBdr>
        <w:spacing w:before="240" w:after="200" w:line="276" w:lineRule="auto"/>
        <w:jc w:val="center"/>
        <w:rPr>
          <w:rFonts w:ascii="Cambria" w:eastAsia="Calibri" w:hAnsi="Cambria"/>
          <w:b/>
          <w:sz w:val="28"/>
          <w:szCs w:val="28"/>
          <w:lang w:eastAsia="en-US"/>
        </w:rPr>
      </w:pPr>
      <w:r w:rsidRPr="007348FC">
        <w:rPr>
          <w:rFonts w:ascii="Cambria" w:eastAsia="Calibri" w:hAnsi="Cambria"/>
          <w:b/>
          <w:sz w:val="28"/>
          <w:szCs w:val="28"/>
          <w:lang w:eastAsia="en-US"/>
        </w:rPr>
        <w:t>Identifikační údaje zadavatele</w:t>
      </w:r>
    </w:p>
    <w:tbl>
      <w:tblPr>
        <w:tblpPr w:leftFromText="141" w:rightFromText="141" w:vertAnchor="text" w:horzAnchor="margin" w:tblpX="108" w:tblpY="245"/>
        <w:tblW w:w="91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03"/>
        <w:gridCol w:w="6477"/>
      </w:tblGrid>
      <w:tr w:rsidR="0039195C" w:rsidRPr="007348FC" w14:paraId="24708707" w14:textId="77777777" w:rsidTr="001A6E14">
        <w:trPr>
          <w:cantSplit/>
        </w:trPr>
        <w:tc>
          <w:tcPr>
            <w:tcW w:w="2703" w:type="dxa"/>
          </w:tcPr>
          <w:p w14:paraId="5B12AB29" w14:textId="73F9457F" w:rsidR="0039195C" w:rsidRPr="0039195C" w:rsidRDefault="0039195C" w:rsidP="0039195C">
            <w:pPr>
              <w:tabs>
                <w:tab w:val="left" w:pos="3119"/>
              </w:tabs>
              <w:spacing w:before="240" w:after="60"/>
              <w:rPr>
                <w:rFonts w:ascii="Cambria" w:hAnsi="Cambria"/>
              </w:rPr>
            </w:pPr>
            <w:r w:rsidRPr="0039195C">
              <w:rPr>
                <w:rFonts w:ascii="Cambria" w:hAnsi="Cambria"/>
                <w:sz w:val="22"/>
                <w:szCs w:val="22"/>
              </w:rPr>
              <w:t>Název zadavatele:</w:t>
            </w:r>
          </w:p>
        </w:tc>
        <w:tc>
          <w:tcPr>
            <w:tcW w:w="6477" w:type="dxa"/>
          </w:tcPr>
          <w:p w14:paraId="763D303D" w14:textId="49D40212" w:rsidR="0039195C" w:rsidRPr="0039195C" w:rsidRDefault="0039195C" w:rsidP="0039195C">
            <w:pPr>
              <w:tabs>
                <w:tab w:val="left" w:pos="3119"/>
              </w:tabs>
              <w:spacing w:before="240" w:after="60"/>
              <w:rPr>
                <w:rFonts w:ascii="Cambria" w:hAnsi="Cambria"/>
              </w:rPr>
            </w:pPr>
            <w:r w:rsidRPr="0039195C">
              <w:rPr>
                <w:rFonts w:ascii="Cambria" w:hAnsi="Cambria"/>
                <w:sz w:val="22"/>
                <w:szCs w:val="22"/>
              </w:rPr>
              <w:t>Střední škola technická Znojmo, příspěvková organizace</w:t>
            </w:r>
          </w:p>
        </w:tc>
      </w:tr>
      <w:tr w:rsidR="0039195C" w:rsidRPr="007348FC" w14:paraId="48266F37" w14:textId="77777777" w:rsidTr="001A6E14">
        <w:trPr>
          <w:cantSplit/>
        </w:trPr>
        <w:tc>
          <w:tcPr>
            <w:tcW w:w="2703" w:type="dxa"/>
          </w:tcPr>
          <w:p w14:paraId="0BF8DC8E" w14:textId="3BEE4C97" w:rsidR="0039195C" w:rsidRPr="0039195C" w:rsidRDefault="0039195C" w:rsidP="0039195C">
            <w:pPr>
              <w:tabs>
                <w:tab w:val="left" w:pos="3119"/>
              </w:tabs>
              <w:spacing w:before="240" w:after="60"/>
              <w:rPr>
                <w:rFonts w:ascii="Cambria" w:hAnsi="Cambria"/>
              </w:rPr>
            </w:pPr>
            <w:r w:rsidRPr="0039195C">
              <w:rPr>
                <w:rFonts w:ascii="Cambria" w:hAnsi="Cambria"/>
                <w:sz w:val="22"/>
                <w:szCs w:val="22"/>
              </w:rPr>
              <w:t>Sídlo zadavatele:</w:t>
            </w:r>
          </w:p>
        </w:tc>
        <w:tc>
          <w:tcPr>
            <w:tcW w:w="6477" w:type="dxa"/>
          </w:tcPr>
          <w:p w14:paraId="6531F239" w14:textId="6845FFE6" w:rsidR="0039195C" w:rsidRPr="0039195C" w:rsidRDefault="0039195C" w:rsidP="0039195C">
            <w:pPr>
              <w:tabs>
                <w:tab w:val="left" w:pos="3119"/>
              </w:tabs>
              <w:spacing w:before="240" w:after="60"/>
              <w:rPr>
                <w:rFonts w:ascii="Cambria" w:hAnsi="Cambria"/>
              </w:rPr>
            </w:pPr>
            <w:r w:rsidRPr="0039195C">
              <w:rPr>
                <w:rFonts w:ascii="Cambria" w:hAnsi="Cambria"/>
                <w:sz w:val="22"/>
                <w:szCs w:val="22"/>
              </w:rPr>
              <w:t>Uhelná 3264/6, 669 02 Znojmo</w:t>
            </w:r>
          </w:p>
        </w:tc>
      </w:tr>
      <w:tr w:rsidR="0039195C" w:rsidRPr="007348FC" w14:paraId="17A6BCBE" w14:textId="77777777" w:rsidTr="001A6E14">
        <w:trPr>
          <w:cantSplit/>
        </w:trPr>
        <w:tc>
          <w:tcPr>
            <w:tcW w:w="2703" w:type="dxa"/>
          </w:tcPr>
          <w:p w14:paraId="05856A26" w14:textId="51959551" w:rsidR="0039195C" w:rsidRPr="0039195C" w:rsidRDefault="0039195C" w:rsidP="0039195C">
            <w:pPr>
              <w:tabs>
                <w:tab w:val="left" w:pos="3119"/>
              </w:tabs>
              <w:spacing w:before="240" w:after="60"/>
              <w:rPr>
                <w:rFonts w:ascii="Cambria" w:hAnsi="Cambria"/>
              </w:rPr>
            </w:pPr>
            <w:r w:rsidRPr="0039195C">
              <w:rPr>
                <w:rFonts w:ascii="Cambria" w:hAnsi="Cambria"/>
                <w:sz w:val="22"/>
                <w:szCs w:val="22"/>
              </w:rPr>
              <w:t>Statutární zástupce:</w:t>
            </w:r>
          </w:p>
        </w:tc>
        <w:tc>
          <w:tcPr>
            <w:tcW w:w="6477" w:type="dxa"/>
          </w:tcPr>
          <w:p w14:paraId="6A45ED1F" w14:textId="5076D086" w:rsidR="0039195C" w:rsidRPr="0039195C" w:rsidRDefault="0039195C" w:rsidP="0039195C">
            <w:pPr>
              <w:tabs>
                <w:tab w:val="left" w:pos="3119"/>
              </w:tabs>
              <w:spacing w:before="240" w:after="60"/>
              <w:rPr>
                <w:rFonts w:ascii="Cambria" w:hAnsi="Cambria"/>
              </w:rPr>
            </w:pPr>
            <w:r w:rsidRPr="0039195C">
              <w:rPr>
                <w:rFonts w:ascii="Cambria" w:hAnsi="Cambria"/>
                <w:sz w:val="22"/>
                <w:szCs w:val="22"/>
              </w:rPr>
              <w:t>Mgr. Jiří Vojtěch, ředitel</w:t>
            </w:r>
          </w:p>
        </w:tc>
      </w:tr>
      <w:tr w:rsidR="0039195C" w:rsidRPr="007348FC" w14:paraId="5575B769" w14:textId="77777777" w:rsidTr="001A6E14">
        <w:trPr>
          <w:cantSplit/>
        </w:trPr>
        <w:tc>
          <w:tcPr>
            <w:tcW w:w="2703" w:type="dxa"/>
          </w:tcPr>
          <w:p w14:paraId="72A38FE0" w14:textId="6CE01606" w:rsidR="0039195C" w:rsidRPr="0039195C" w:rsidRDefault="0039195C" w:rsidP="0039195C">
            <w:pPr>
              <w:tabs>
                <w:tab w:val="left" w:pos="3119"/>
              </w:tabs>
              <w:spacing w:before="240" w:after="60"/>
              <w:rPr>
                <w:rFonts w:ascii="Cambria" w:hAnsi="Cambria"/>
              </w:rPr>
            </w:pPr>
            <w:r w:rsidRPr="0039195C">
              <w:rPr>
                <w:rFonts w:ascii="Cambria" w:hAnsi="Cambria"/>
                <w:sz w:val="22"/>
                <w:szCs w:val="22"/>
              </w:rPr>
              <w:t>IČO zadavatele:</w:t>
            </w:r>
          </w:p>
        </w:tc>
        <w:tc>
          <w:tcPr>
            <w:tcW w:w="6477" w:type="dxa"/>
          </w:tcPr>
          <w:p w14:paraId="07D36FD3" w14:textId="518782DF" w:rsidR="0039195C" w:rsidRPr="0039195C" w:rsidRDefault="0039195C" w:rsidP="0039195C">
            <w:pPr>
              <w:tabs>
                <w:tab w:val="left" w:pos="3119"/>
              </w:tabs>
              <w:spacing w:before="240" w:after="60"/>
              <w:rPr>
                <w:rFonts w:ascii="Cambria" w:hAnsi="Cambria"/>
              </w:rPr>
            </w:pPr>
            <w:r w:rsidRPr="0039195C">
              <w:rPr>
                <w:rFonts w:ascii="Cambria" w:hAnsi="Cambria" w:cs="Arial"/>
                <w:bCs/>
                <w:sz w:val="22"/>
                <w:szCs w:val="22"/>
                <w:shd w:val="clear" w:color="auto" w:fill="FFFFFF"/>
              </w:rPr>
              <w:t>00530506</w:t>
            </w:r>
          </w:p>
        </w:tc>
      </w:tr>
    </w:tbl>
    <w:p w14:paraId="200A151B" w14:textId="77777777" w:rsidR="007A5659" w:rsidRPr="007348FC" w:rsidRDefault="007A5659" w:rsidP="008F2C10">
      <w:pPr>
        <w:rPr>
          <w:color w:val="FF0000"/>
        </w:rPr>
      </w:pPr>
    </w:p>
    <w:p w14:paraId="3DD87E1B" w14:textId="77777777" w:rsidR="008F2C10" w:rsidRPr="007348FC" w:rsidRDefault="008F2C10" w:rsidP="008F2C10">
      <w:pPr>
        <w:rPr>
          <w:color w:val="FF0000"/>
        </w:rPr>
      </w:pPr>
    </w:p>
    <w:p w14:paraId="356AAEB8" w14:textId="77777777" w:rsidR="007A5659" w:rsidRPr="00921789" w:rsidRDefault="007A5659" w:rsidP="008F2C10">
      <w:pPr>
        <w:pStyle w:val="Nadpis2"/>
        <w:pBdr>
          <w:bottom w:val="single" w:sz="12" w:space="1" w:color="2E74B5" w:themeColor="accent1" w:themeShade="BF"/>
        </w:pBdr>
        <w:jc w:val="center"/>
        <w:rPr>
          <w:b/>
          <w:sz w:val="22"/>
          <w:szCs w:val="22"/>
        </w:rPr>
      </w:pPr>
      <w:r w:rsidRPr="00921789">
        <w:rPr>
          <w:b/>
          <w:sz w:val="22"/>
          <w:szCs w:val="22"/>
        </w:rPr>
        <w:t>Úvodní ustanovení</w:t>
      </w:r>
    </w:p>
    <w:p w14:paraId="58BDABAC" w14:textId="3235C87B" w:rsidR="002246B1" w:rsidRPr="00921789" w:rsidRDefault="002246B1" w:rsidP="002246B1">
      <w:pPr>
        <w:pStyle w:val="Nadpis3"/>
        <w:numPr>
          <w:ilvl w:val="1"/>
          <w:numId w:val="2"/>
        </w:numPr>
        <w:rPr>
          <w:rFonts w:cs="Arial"/>
          <w:sz w:val="22"/>
          <w:szCs w:val="22"/>
        </w:rPr>
      </w:pPr>
      <w:r w:rsidRPr="00921789">
        <w:rPr>
          <w:rFonts w:cs="Arial"/>
          <w:sz w:val="22"/>
          <w:szCs w:val="22"/>
        </w:rPr>
        <w:t xml:space="preserve">Tato příloha tvoří nedílnou součást příkazní smlouvy k veřejné zakázce s názvem: </w:t>
      </w:r>
      <w:r w:rsidRPr="00921789">
        <w:rPr>
          <w:b/>
          <w:sz w:val="22"/>
          <w:szCs w:val="22"/>
        </w:rPr>
        <w:t>„</w:t>
      </w:r>
      <w:r w:rsidR="0039195C">
        <w:rPr>
          <w:b/>
          <w:sz w:val="22"/>
          <w:szCs w:val="22"/>
        </w:rPr>
        <w:t>Řešení školního stravování (jídelny) a energetických úspor</w:t>
      </w:r>
      <w:r w:rsidR="00921789" w:rsidRPr="00921789">
        <w:rPr>
          <w:b/>
          <w:sz w:val="22"/>
          <w:szCs w:val="22"/>
        </w:rPr>
        <w:t xml:space="preserve"> – výkon TDI a koordinace BOZP</w:t>
      </w:r>
      <w:r w:rsidRPr="00921789">
        <w:rPr>
          <w:b/>
          <w:sz w:val="22"/>
          <w:szCs w:val="22"/>
        </w:rPr>
        <w:t>“</w:t>
      </w:r>
      <w:r w:rsidRPr="00921789">
        <w:rPr>
          <w:sz w:val="22"/>
          <w:szCs w:val="22"/>
        </w:rPr>
        <w:t xml:space="preserve"> (dále jen „Smlouva“). </w:t>
      </w:r>
    </w:p>
    <w:p w14:paraId="7F6FD5B9" w14:textId="45A0C500" w:rsidR="008F2C10" w:rsidRPr="00921789" w:rsidRDefault="007A5659" w:rsidP="008F2C10">
      <w:pPr>
        <w:pStyle w:val="Nadpis3"/>
        <w:numPr>
          <w:ilvl w:val="1"/>
          <w:numId w:val="2"/>
        </w:numPr>
        <w:rPr>
          <w:sz w:val="22"/>
          <w:szCs w:val="22"/>
        </w:rPr>
      </w:pPr>
      <w:r w:rsidRPr="00921789">
        <w:rPr>
          <w:sz w:val="22"/>
          <w:szCs w:val="22"/>
        </w:rPr>
        <w:t xml:space="preserve">Příkazník se zavazuje provádět pro </w:t>
      </w:r>
      <w:r w:rsidR="003338A2" w:rsidRPr="00921789">
        <w:rPr>
          <w:sz w:val="22"/>
          <w:szCs w:val="22"/>
        </w:rPr>
        <w:t>p</w:t>
      </w:r>
      <w:r w:rsidRPr="00921789">
        <w:rPr>
          <w:sz w:val="22"/>
          <w:szCs w:val="22"/>
        </w:rPr>
        <w:t>říkazce řádně a včas, na svůj náklad a na své nebezpečí, v dohodnutých výkonových fázích realizace Stavby výkon technického dozoru investora (dále jen „TDI</w:t>
      </w:r>
      <w:r w:rsidR="008F2C10" w:rsidRPr="00921789">
        <w:rPr>
          <w:sz w:val="22"/>
          <w:szCs w:val="22"/>
        </w:rPr>
        <w:t xml:space="preserve">“) </w:t>
      </w:r>
      <w:r w:rsidRPr="00921789">
        <w:rPr>
          <w:sz w:val="22"/>
          <w:szCs w:val="22"/>
        </w:rPr>
        <w:t xml:space="preserve">a koordinátora bezpečnosti a ochrany zdraví při práci (dále jen „BOZP"), </w:t>
      </w:r>
      <w:r w:rsidR="008F2C10" w:rsidRPr="00921789">
        <w:rPr>
          <w:sz w:val="22"/>
          <w:szCs w:val="22"/>
        </w:rPr>
        <w:t>a to v rámci realizace stavby s názvem „</w:t>
      </w:r>
      <w:r w:rsidR="0039195C">
        <w:rPr>
          <w:b/>
          <w:sz w:val="22"/>
          <w:szCs w:val="22"/>
        </w:rPr>
        <w:t>Řešení školního stravování (jídelny) a energetických</w:t>
      </w:r>
      <w:r w:rsidR="008F2C10" w:rsidRPr="00921789">
        <w:rPr>
          <w:b/>
          <w:bCs/>
          <w:sz w:val="22"/>
          <w:szCs w:val="22"/>
        </w:rPr>
        <w:t>“</w:t>
      </w:r>
      <w:r w:rsidR="00921789">
        <w:rPr>
          <w:b/>
          <w:bCs/>
          <w:sz w:val="22"/>
          <w:szCs w:val="22"/>
        </w:rPr>
        <w:t xml:space="preserve"> </w:t>
      </w:r>
      <w:r w:rsidR="008F2C10" w:rsidRPr="00921789">
        <w:rPr>
          <w:bCs/>
          <w:sz w:val="22"/>
          <w:szCs w:val="22"/>
        </w:rPr>
        <w:t xml:space="preserve">(dále jen „Stavba“), </w:t>
      </w:r>
      <w:r w:rsidRPr="00921789">
        <w:rPr>
          <w:sz w:val="22"/>
          <w:szCs w:val="22"/>
        </w:rPr>
        <w:t xml:space="preserve">a to zejména v níže uvedeném rozsahu. </w:t>
      </w:r>
    </w:p>
    <w:p w14:paraId="00671E29" w14:textId="474438B4" w:rsidR="008F2C10" w:rsidRPr="00921789" w:rsidRDefault="007A5659" w:rsidP="008F2C10">
      <w:pPr>
        <w:pStyle w:val="Nadpis3"/>
        <w:numPr>
          <w:ilvl w:val="1"/>
          <w:numId w:val="2"/>
        </w:numPr>
        <w:rPr>
          <w:sz w:val="22"/>
          <w:szCs w:val="22"/>
        </w:rPr>
      </w:pPr>
      <w:r w:rsidRPr="00921789">
        <w:rPr>
          <w:rFonts w:cs="Arial"/>
          <w:sz w:val="22"/>
          <w:szCs w:val="22"/>
        </w:rPr>
        <w:t xml:space="preserve">TDI a BOZP bude prováděno </w:t>
      </w:r>
      <w:r w:rsidR="0039195C">
        <w:rPr>
          <w:rFonts w:cs="Arial"/>
          <w:sz w:val="22"/>
          <w:szCs w:val="22"/>
        </w:rPr>
        <w:t>v souladu se zákonem č. 2</w:t>
      </w:r>
      <w:r w:rsidR="0039195C" w:rsidRPr="00921789">
        <w:rPr>
          <w:rFonts w:cs="Arial"/>
          <w:sz w:val="22"/>
          <w:szCs w:val="22"/>
        </w:rPr>
        <w:t>83/20</w:t>
      </w:r>
      <w:r w:rsidR="0039195C">
        <w:rPr>
          <w:rFonts w:cs="Arial"/>
          <w:sz w:val="22"/>
          <w:szCs w:val="22"/>
        </w:rPr>
        <w:t>21</w:t>
      </w:r>
      <w:r w:rsidR="0039195C" w:rsidRPr="00921789">
        <w:rPr>
          <w:rFonts w:cs="Arial"/>
          <w:sz w:val="22"/>
          <w:szCs w:val="22"/>
        </w:rPr>
        <w:t xml:space="preserve"> Sb., </w:t>
      </w:r>
      <w:r w:rsidR="0039195C">
        <w:rPr>
          <w:rFonts w:cs="Arial"/>
          <w:sz w:val="22"/>
          <w:szCs w:val="22"/>
        </w:rPr>
        <w:t xml:space="preserve">stavební zákon, </w:t>
      </w:r>
      <w:r w:rsidR="0039195C" w:rsidRPr="00921789">
        <w:rPr>
          <w:rFonts w:cs="Arial"/>
          <w:sz w:val="22"/>
          <w:szCs w:val="22"/>
        </w:rPr>
        <w:t>ve znění pozdějších předpisů a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 vlády č. 591/2006 Sb., o bližších minimálních požadavcích na bezpečnost a ochranu zdraví při práci na staveništích, ve znění pozdějších předpisů (dále jen „nařízení vlády č. 591/2006").</w:t>
      </w:r>
    </w:p>
    <w:p w14:paraId="0EFCB96E" w14:textId="77777777" w:rsidR="00474C5E" w:rsidRPr="00921789" w:rsidRDefault="00474C5E" w:rsidP="00474C5E">
      <w:pPr>
        <w:pStyle w:val="Nadpis3"/>
        <w:numPr>
          <w:ilvl w:val="1"/>
          <w:numId w:val="2"/>
        </w:numPr>
        <w:rPr>
          <w:rFonts w:cs="Arial"/>
          <w:sz w:val="22"/>
          <w:szCs w:val="22"/>
        </w:rPr>
      </w:pPr>
      <w:r w:rsidRPr="00921789">
        <w:rPr>
          <w:rFonts w:cs="Arial"/>
          <w:sz w:val="22"/>
          <w:szCs w:val="22"/>
        </w:rPr>
        <w:lastRenderedPageBreak/>
        <w:t>Příkazník se zavazuje realizovat TDI a BOZP formou občasného TDI a BOZP Stavby v </w:t>
      </w:r>
      <w:r w:rsidRPr="00712CFA">
        <w:rPr>
          <w:rFonts w:cs="Arial"/>
          <w:sz w:val="22"/>
          <w:szCs w:val="22"/>
        </w:rPr>
        <w:t>rozsahu min. 15 hod./týdně</w:t>
      </w:r>
      <w:r w:rsidRPr="00921789">
        <w:rPr>
          <w:rFonts w:cs="Arial"/>
          <w:sz w:val="22"/>
          <w:szCs w:val="22"/>
        </w:rPr>
        <w:t xml:space="preserve">, a to po celou dobu výstavby až do doby převzetí Stavby </w:t>
      </w:r>
      <w:r w:rsidR="003338A2" w:rsidRPr="00921789">
        <w:rPr>
          <w:rFonts w:cs="Arial"/>
          <w:sz w:val="22"/>
          <w:szCs w:val="22"/>
        </w:rPr>
        <w:t>p</w:t>
      </w:r>
      <w:r w:rsidRPr="00921789">
        <w:rPr>
          <w:rFonts w:cs="Arial"/>
          <w:sz w:val="22"/>
          <w:szCs w:val="22"/>
        </w:rPr>
        <w:t>říkazcem případně do úplného odstranění vad a nedodělků uvedených v přejímacím protokolu sepsaným mezi Příkazcem a zhotovitelem Stavby, podle toho, která z uvedených skutečností nastane později.</w:t>
      </w:r>
    </w:p>
    <w:p w14:paraId="10625CB9" w14:textId="22801D5E" w:rsidR="008F2C10" w:rsidRPr="00824FCF" w:rsidRDefault="008F2C10" w:rsidP="008F2C10">
      <w:pPr>
        <w:pStyle w:val="Nadpis3"/>
        <w:numPr>
          <w:ilvl w:val="1"/>
          <w:numId w:val="2"/>
        </w:numPr>
        <w:rPr>
          <w:rFonts w:cs="Arial"/>
          <w:sz w:val="22"/>
          <w:szCs w:val="22"/>
        </w:rPr>
      </w:pPr>
      <w:r w:rsidRPr="00824FCF">
        <w:rPr>
          <w:sz w:val="22"/>
          <w:szCs w:val="22"/>
        </w:rPr>
        <w:t xml:space="preserve">Podkladem pro stanovení rozsahu požadovaných výkonů a činností jsou zejména projektová dokumentace </w:t>
      </w:r>
      <w:r w:rsidRPr="00824FCF">
        <w:rPr>
          <w:bCs/>
          <w:sz w:val="22"/>
          <w:szCs w:val="22"/>
        </w:rPr>
        <w:t xml:space="preserve">zpracována </w:t>
      </w:r>
      <w:r w:rsidR="0039195C">
        <w:rPr>
          <w:sz w:val="22"/>
          <w:szCs w:val="22"/>
        </w:rPr>
        <w:t xml:space="preserve">společností LP </w:t>
      </w:r>
      <w:proofErr w:type="spellStart"/>
      <w:r w:rsidR="0039195C">
        <w:rPr>
          <w:sz w:val="22"/>
          <w:szCs w:val="22"/>
        </w:rPr>
        <w:t>staving</w:t>
      </w:r>
      <w:proofErr w:type="spellEnd"/>
      <w:r w:rsidR="0039195C">
        <w:rPr>
          <w:sz w:val="22"/>
          <w:szCs w:val="22"/>
        </w:rPr>
        <w:t xml:space="preserve"> s.r.o., sídlem: Větrov 160, 664 83 Domašov, IČO: 292 22 745, v říjnu 2023, zodpovědný projektant: Ing. Ladislav Pokorný, ČKAIT č. 1004848</w:t>
      </w:r>
      <w:r w:rsidR="0039195C">
        <w:rPr>
          <w:rFonts w:cs="Arial"/>
          <w:sz w:val="22"/>
          <w:szCs w:val="22"/>
        </w:rPr>
        <w:t xml:space="preserve">, která je </w:t>
      </w:r>
      <w:r w:rsidR="0039195C" w:rsidRPr="0002034B">
        <w:rPr>
          <w:rFonts w:cs="Arial"/>
          <w:sz w:val="22"/>
          <w:szCs w:val="22"/>
        </w:rPr>
        <w:t>součástí této zadávac</w:t>
      </w:r>
      <w:r w:rsidR="0039195C">
        <w:rPr>
          <w:rFonts w:cs="Arial"/>
          <w:sz w:val="22"/>
          <w:szCs w:val="22"/>
        </w:rPr>
        <w:t>í dokumentace jako příloha č. 4 zadávací dokumentace k Veřejné zakázce.</w:t>
      </w:r>
    </w:p>
    <w:p w14:paraId="288BEA0D" w14:textId="77777777" w:rsidR="007A5659" w:rsidRPr="00921789" w:rsidRDefault="007A5659" w:rsidP="008F2C10">
      <w:pPr>
        <w:pStyle w:val="Nadpis2"/>
        <w:pBdr>
          <w:bottom w:val="single" w:sz="12" w:space="1" w:color="2E74B5" w:themeColor="accent1" w:themeShade="BF"/>
        </w:pBdr>
        <w:jc w:val="center"/>
        <w:rPr>
          <w:b/>
          <w:sz w:val="22"/>
          <w:szCs w:val="22"/>
        </w:rPr>
      </w:pPr>
      <w:r w:rsidRPr="00921789">
        <w:rPr>
          <w:b/>
          <w:sz w:val="22"/>
          <w:szCs w:val="22"/>
        </w:rPr>
        <w:t>Výkon TDI</w:t>
      </w:r>
    </w:p>
    <w:p w14:paraId="1A9EAD47" w14:textId="77777777" w:rsidR="00474C5E" w:rsidRPr="00921789" w:rsidRDefault="006D6F91" w:rsidP="00474C5E">
      <w:pPr>
        <w:pStyle w:val="Nadpis3"/>
        <w:numPr>
          <w:ilvl w:val="1"/>
          <w:numId w:val="8"/>
        </w:numPr>
        <w:rPr>
          <w:sz w:val="22"/>
          <w:szCs w:val="22"/>
        </w:rPr>
      </w:pPr>
      <w:r w:rsidRPr="00921789">
        <w:rPr>
          <w:sz w:val="22"/>
          <w:szCs w:val="22"/>
        </w:rPr>
        <w:t xml:space="preserve">Výkon TDI bude zajišťován osobou, která má autorizaci dle zákona č. 360/1992 Sb., o výkonu povolání autorizovaných architektů a o výkonu povolání autorizovaných inženýrů a techniků činných ve </w:t>
      </w:r>
      <w:r w:rsidR="00474C5E" w:rsidRPr="00921789">
        <w:rPr>
          <w:sz w:val="22"/>
          <w:szCs w:val="22"/>
        </w:rPr>
        <w:t>výstavbě v oboru pozemní stavby.</w:t>
      </w:r>
    </w:p>
    <w:p w14:paraId="546A3D75" w14:textId="77777777" w:rsidR="00742B42" w:rsidRPr="00921789" w:rsidRDefault="006D6F91" w:rsidP="00742B42">
      <w:pPr>
        <w:pStyle w:val="Nadpis3"/>
        <w:numPr>
          <w:ilvl w:val="1"/>
          <w:numId w:val="8"/>
        </w:numPr>
        <w:rPr>
          <w:sz w:val="22"/>
          <w:szCs w:val="22"/>
        </w:rPr>
      </w:pPr>
      <w:r w:rsidRPr="00921789">
        <w:rPr>
          <w:rFonts w:cs="Arial"/>
          <w:sz w:val="22"/>
          <w:szCs w:val="22"/>
        </w:rPr>
        <w:t xml:space="preserve">Výkonem TDI se rozumí činnost zajišťující kontrolu provádění prací při přípravě a realizaci Stavby (v souladu se stavebním povolením, schválenou projektovou dokumentací, právními přepis, technickými normami) a dohled nad plněním smluvním povinností zhotovitele Stavby. </w:t>
      </w:r>
    </w:p>
    <w:p w14:paraId="0AC481FB" w14:textId="77777777" w:rsidR="00742B42" w:rsidRPr="00921789" w:rsidRDefault="00742B42" w:rsidP="00742B42">
      <w:pPr>
        <w:pStyle w:val="Nadpis3"/>
        <w:numPr>
          <w:ilvl w:val="1"/>
          <w:numId w:val="8"/>
        </w:numPr>
        <w:rPr>
          <w:sz w:val="22"/>
          <w:szCs w:val="22"/>
        </w:rPr>
      </w:pPr>
      <w:r w:rsidRPr="00921789">
        <w:rPr>
          <w:rFonts w:cs="Arial"/>
          <w:sz w:val="22"/>
          <w:szCs w:val="22"/>
        </w:rPr>
        <w:t>Příkazník jakožto TDI</w:t>
      </w:r>
      <w:r w:rsidRPr="00921789">
        <w:rPr>
          <w:rFonts w:cs="Cambria"/>
          <w:sz w:val="22"/>
          <w:szCs w:val="22"/>
        </w:rPr>
        <w:t xml:space="preserve"> odpovídá zejména za soulad prostorové polohy stavby s ověřenou dokumentací, za dodržení obe</w:t>
      </w:r>
      <w:r w:rsidR="00012F9D" w:rsidRPr="00921789">
        <w:rPr>
          <w:rFonts w:cs="Cambria"/>
          <w:sz w:val="22"/>
          <w:szCs w:val="22"/>
        </w:rPr>
        <w:t xml:space="preserve">cných požadavků na výstavbu, </w:t>
      </w:r>
      <w:r w:rsidRPr="00921789">
        <w:rPr>
          <w:rFonts w:cs="Cambria"/>
          <w:sz w:val="22"/>
          <w:szCs w:val="22"/>
        </w:rPr>
        <w:t>a jiných technických předpisů a za dodržení rozhodnutí a jiných opatření vydaných k uskutečnění stavby. TDI dále sleduje způsob a postup provádění stavby, zejména bezpečnost instalací a provozu technických zařízení na staveništi, vhodnost ukládání a použití stavebních výrobků, materiálů a konstrukcí a vedení stavebního deníku; působí k odstranění závad při provádění stavby, a pokud se jí nepodaří takové závady v rámci vykonávání dozoru odstranit, oznámí je neprodleně stavebnímu úřadu. Dále vykonává činnosti v následujícím rozsahu</w:t>
      </w:r>
      <w:r w:rsidRPr="00921789">
        <w:rPr>
          <w:rFonts w:asciiTheme="majorHAnsi" w:hAnsiTheme="majorHAnsi" w:cs="Cambria"/>
          <w:sz w:val="22"/>
          <w:szCs w:val="22"/>
        </w:rPr>
        <w:t>:</w:t>
      </w:r>
    </w:p>
    <w:p w14:paraId="2FBB30CF"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t>seznámení se s podklady, podle k</w:t>
      </w:r>
      <w:r w:rsidR="00742B42" w:rsidRPr="00921789">
        <w:rPr>
          <w:rFonts w:ascii="Cambria" w:hAnsi="Cambria" w:cs="Arial"/>
          <w:sz w:val="22"/>
          <w:szCs w:val="22"/>
        </w:rPr>
        <w:t>terých se připravuje realizace S</w:t>
      </w:r>
      <w:r w:rsidRPr="00921789">
        <w:rPr>
          <w:rFonts w:ascii="Cambria" w:hAnsi="Cambria" w:cs="Arial"/>
          <w:sz w:val="22"/>
          <w:szCs w:val="22"/>
        </w:rPr>
        <w:t xml:space="preserve">tavby, zejména s projektovou dokumentací pro provádění stavby, se všemi rozhodnutími, stanovisky </w:t>
      </w:r>
      <w:r w:rsidRPr="00921789">
        <w:rPr>
          <w:rFonts w:ascii="Cambria" w:hAnsi="Cambria" w:cs="Arial"/>
          <w:sz w:val="22"/>
          <w:szCs w:val="22"/>
        </w:rPr>
        <w:br/>
        <w:t>a vyjádřeními vydanými v so</w:t>
      </w:r>
      <w:r w:rsidR="00921789">
        <w:rPr>
          <w:rFonts w:ascii="Cambria" w:hAnsi="Cambria" w:cs="Arial"/>
          <w:sz w:val="22"/>
          <w:szCs w:val="22"/>
        </w:rPr>
        <w:t xml:space="preserve">uvislosti s přípravou projektu </w:t>
      </w:r>
      <w:r w:rsidRPr="00921789">
        <w:rPr>
          <w:rFonts w:ascii="Cambria" w:hAnsi="Cambria" w:cs="Arial"/>
          <w:sz w:val="22"/>
          <w:szCs w:val="22"/>
        </w:rPr>
        <w:t xml:space="preserve">a s obsahem smlouvy o dílo, která byla uzavřena s vybraným </w:t>
      </w:r>
      <w:r w:rsidR="00921789">
        <w:rPr>
          <w:rFonts w:ascii="Cambria" w:hAnsi="Cambria" w:cs="Arial"/>
          <w:sz w:val="22"/>
          <w:szCs w:val="22"/>
        </w:rPr>
        <w:t>účastníkem</w:t>
      </w:r>
      <w:r w:rsidRPr="00921789">
        <w:rPr>
          <w:rFonts w:ascii="Cambria" w:hAnsi="Cambria" w:cs="Arial"/>
          <w:sz w:val="22"/>
          <w:szCs w:val="22"/>
        </w:rPr>
        <w:t>,</w:t>
      </w:r>
    </w:p>
    <w:p w14:paraId="3B4C38A3"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t xml:space="preserve">posuzuje, kontroluje a odsouhlasuje dokumenty a dokumentaci zpracovanou zhotovitelem (dodavatelská dokumentace, plány jakosti, kontrolní a zkušební plány apod.) </w:t>
      </w:r>
    </w:p>
    <w:p w14:paraId="76258AF8"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t>organizace předání a převzetí staveniště (pracoviště) zhotoviteli vč. zabezpečení protokolárního zápisu do stavebního deníku;</w:t>
      </w:r>
    </w:p>
    <w:p w14:paraId="1951506B"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t>ke kontrole protokolární odevzdání základního směrového a výškového vytýčení stavby zhotoviteli;</w:t>
      </w:r>
    </w:p>
    <w:p w14:paraId="5F86EA51"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t>kontrola zhotovitele a ostatních účastníků výstavby při dodržování podmínek stavebního povolení a opatření státního stavebního dohledu po celou dobu realizace stavby;</w:t>
      </w:r>
    </w:p>
    <w:p w14:paraId="55D81046"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t>bezvýhradné dodržování postupů dle projektové dokumentace, ve výjimečných případech, kdy je navrhována její změna nebo doplnění, se uskuteční vždy po odsouhlasení obou stran, a to formou tzv. změnového listu; použití změnového listu předchází pouze ty změny, které nemohl nikdo předvídat;</w:t>
      </w:r>
    </w:p>
    <w:p w14:paraId="5CF52804"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lastRenderedPageBreak/>
        <w:t>péče o systematické doplňování dokumentace, podle které se stavba realizuje a evidence dokumentace dokončených částí stavby;</w:t>
      </w:r>
    </w:p>
    <w:p w14:paraId="440D1272"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t>projednání a spolupráce ohledně dodatků a změn projektu, které nezvyšují náklady stavebních objektů nebo provozních souborů, neprodlužují lhůtu výstavby a nezhoršují parametry stavby;</w:t>
      </w:r>
    </w:p>
    <w:p w14:paraId="448975F5"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t>zpracování stanoviska pro příkazce k důvodům, rozsahu a cenovému dopadu případných změn a víceprací, spolupráce s příkazcem při řešení dalšího postupu;</w:t>
      </w:r>
    </w:p>
    <w:p w14:paraId="687F09F9"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t>posuzování dopadu změn na vydaná stavební a jiná povolení, v případě nutnosti spolupráce při zajištění změn těchto povolení před dokončením stavby,</w:t>
      </w:r>
    </w:p>
    <w:p w14:paraId="6CAE8AB8"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t>informování příkazce o všech závažných okolnostech vzniklých při realizaci stavby;</w:t>
      </w:r>
    </w:p>
    <w:p w14:paraId="7F0C98F2"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t>cenová a věcná kontrola provedených prací a zjišťovacích protokolů porovnáním s odsouhlaseným rozpočtem;</w:t>
      </w:r>
    </w:p>
    <w:p w14:paraId="21546F88"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t xml:space="preserve">kontrola věcné a cenové správnosti a úplnosti oceňovacích podkladů a faktur podle skutečně provedených prací, kontrola dodržení podmínek fakturace uvedenými </w:t>
      </w:r>
      <w:r w:rsidRPr="00921789">
        <w:rPr>
          <w:rFonts w:ascii="Cambria" w:hAnsi="Cambria" w:cs="Arial"/>
          <w:sz w:val="22"/>
          <w:szCs w:val="22"/>
        </w:rPr>
        <w:br/>
        <w:t>ve smlouvách s potvrzením správnosti svým podpisem a jejich předkládání k úhradě investorovi;</w:t>
      </w:r>
    </w:p>
    <w:p w14:paraId="3F47725F"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t>sledování souladu provedených a fakturovaných prací s položkovými rozpočty jednotlivých stavebních objektů nebo provozních souborů a s celkovým rozpočtem stavby;</w:t>
      </w:r>
    </w:p>
    <w:p w14:paraId="32FB88AB"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t>technická kontrola prací, technologických postupů a dodávek, zejména soulad jejich provedení s technickými normami a ostatními předpisy vztahujícími se ke kvalitě stavebních prací;</w:t>
      </w:r>
    </w:p>
    <w:p w14:paraId="76B6E002"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t>řešení všech připomínek ke kvalitě stavby od dotčených orgánů či organizací nebo od občanů obce;</w:t>
      </w:r>
    </w:p>
    <w:p w14:paraId="60BCAF66"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t>technická a věcná kontrola těch částí dodávek, které budou v dalším postupu zakryté nebo se stanou nepřístupnými, zapsání výsledku kontroly do stavebního deníku;</w:t>
      </w:r>
    </w:p>
    <w:p w14:paraId="41A1D3DE"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t>v souladu se smlouvami odevzdání připravené práce dalším zhotovitelům na jejich navazující činnosti;</w:t>
      </w:r>
    </w:p>
    <w:p w14:paraId="7849B021"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t xml:space="preserve">spolupráci s pracovníky (generálního) projektanta zabezpečujícími autorský dohled </w:t>
      </w:r>
      <w:r w:rsidRPr="00921789">
        <w:rPr>
          <w:rFonts w:ascii="Cambria" w:hAnsi="Cambria" w:cs="Arial"/>
          <w:sz w:val="22"/>
          <w:szCs w:val="22"/>
        </w:rPr>
        <w:br/>
        <w:t>při zajišťování souladu realizovaných dodávek a prací s projektem;</w:t>
      </w:r>
    </w:p>
    <w:p w14:paraId="3DF6E2F1"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t>spolupráci s (generálním) projektantem a s dodavateli při provádění nebo navrhování opatření na odstranění případných závad projektu;</w:t>
      </w:r>
    </w:p>
    <w:p w14:paraId="436D0241"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t>kontrola zhotovitele při provádění předepsaných a dohodnutých zkoušky materiálů, konstrukcí a prací, kontrola jejich výsledků a dokladů, které prokazují kvalitu prováděných prací a dodávek; archivace všech protokolů, revizních zpráv a atestů z toho vyplývajících;</w:t>
      </w:r>
    </w:p>
    <w:p w14:paraId="47FC5520"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t>sledování vedení stavebních a montážních deníků a provádění průběžných zápisů;</w:t>
      </w:r>
    </w:p>
    <w:p w14:paraId="365A7A7A" w14:textId="77777777" w:rsidR="006D6F91" w:rsidRPr="00921789"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921789">
        <w:rPr>
          <w:rFonts w:ascii="Cambria" w:hAnsi="Cambria" w:cs="Arial"/>
          <w:sz w:val="22"/>
          <w:szCs w:val="22"/>
        </w:rPr>
        <w:t>zaznamenání do stavebního deníku každé přerušení nebo zastavení prací s uvedením důvodu, vyjadřování se k důvodům zhotovitelem uváděným;</w:t>
      </w:r>
    </w:p>
    <w:p w14:paraId="48196998" w14:textId="77777777" w:rsidR="006D6F91" w:rsidRPr="0071784A"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71784A">
        <w:rPr>
          <w:rFonts w:ascii="Cambria" w:hAnsi="Cambria" w:cs="Arial"/>
          <w:sz w:val="22"/>
          <w:szCs w:val="22"/>
        </w:rPr>
        <w:t>organizační zabezpečení kontrolních dnů stavby, příprava jejich podkladů, týkající se činnosti TDI, vypracování soupisu vad a nedodělků, zúčastňování se kontrolních dnů stavby, řízení jejich průběhu, zabezpečení pořízení zápisu z kontrolních dnů, jejich archivace a plnění úkolů z nich vyplývajících pro výkon činnosti TDI;</w:t>
      </w:r>
    </w:p>
    <w:p w14:paraId="11F4CCCE" w14:textId="77777777" w:rsidR="006D6F91" w:rsidRPr="0071784A"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71784A">
        <w:rPr>
          <w:rFonts w:ascii="Cambria" w:hAnsi="Cambria" w:cs="Arial"/>
          <w:sz w:val="22"/>
          <w:szCs w:val="22"/>
        </w:rPr>
        <w:t>spolupráce se zhotovitelem stavby při provádění opatření na odvrácení nebo na omezení škod při ohrožení stavby živelnými událostmi;</w:t>
      </w:r>
    </w:p>
    <w:p w14:paraId="7761B37B" w14:textId="77777777" w:rsidR="006D6F91" w:rsidRPr="0071784A"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71784A">
        <w:rPr>
          <w:rFonts w:ascii="Cambria" w:hAnsi="Cambria" w:cs="Arial"/>
          <w:sz w:val="22"/>
          <w:szCs w:val="22"/>
        </w:rPr>
        <w:lastRenderedPageBreak/>
        <w:t>kontrola postupu prací podle časového plánu stavby a termínů stanovených ve smlouvě o dílo se zhotovitelem stavby, případně stanoveného časového a finančního harmonogramu prováděných prací. V případě ohrožení dodržení termínů okamžité vyrozumění příkazce včetně předložení návrhu na řešení;</w:t>
      </w:r>
    </w:p>
    <w:p w14:paraId="7A2F5BCF" w14:textId="77777777" w:rsidR="006D6F91" w:rsidRPr="0071784A"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71784A">
        <w:rPr>
          <w:rFonts w:ascii="Cambria" w:hAnsi="Cambria" w:cs="Arial"/>
          <w:sz w:val="22"/>
          <w:szCs w:val="22"/>
        </w:rPr>
        <w:t>kontrolu řádného uskladnění materiálu, strojů a konstrukcí a pořádku na staveništi;</w:t>
      </w:r>
    </w:p>
    <w:p w14:paraId="05E20439" w14:textId="77777777" w:rsidR="006D6F91" w:rsidRPr="0071784A"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71784A">
        <w:rPr>
          <w:rFonts w:ascii="Cambria" w:hAnsi="Cambria" w:cs="Arial"/>
          <w:sz w:val="22"/>
          <w:szCs w:val="22"/>
        </w:rPr>
        <w:t>v průběhu výstavby připravuje podklady pro závěrečné hodnocení stavby;</w:t>
      </w:r>
    </w:p>
    <w:p w14:paraId="4AC8A119" w14:textId="77777777" w:rsidR="006D6F91" w:rsidRPr="0071784A"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71784A">
        <w:rPr>
          <w:rFonts w:ascii="Cambria" w:hAnsi="Cambria" w:cs="Arial"/>
          <w:sz w:val="22"/>
          <w:szCs w:val="22"/>
        </w:rPr>
        <w:t>přípravu podkladů pro odevzdání a převzetí stavby nebo jejích částí a účast na jednání o odevzdání a převzetí;</w:t>
      </w:r>
    </w:p>
    <w:p w14:paraId="0DD9243C" w14:textId="77777777" w:rsidR="006D6F91" w:rsidRPr="0071784A"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71784A">
        <w:rPr>
          <w:rFonts w:ascii="Cambria" w:hAnsi="Cambria" w:cs="Arial"/>
          <w:sz w:val="22"/>
          <w:szCs w:val="22"/>
        </w:rPr>
        <w:t>kontrola dokladů, které doloží zhotovitel k odevzdání a převzetí dokončené stavby;</w:t>
      </w:r>
    </w:p>
    <w:p w14:paraId="5E4FD7B4" w14:textId="77777777" w:rsidR="006D6F91" w:rsidRPr="0071784A"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71784A">
        <w:rPr>
          <w:rFonts w:ascii="Cambria" w:hAnsi="Cambria" w:cs="Arial"/>
          <w:sz w:val="22"/>
          <w:szCs w:val="22"/>
        </w:rPr>
        <w:t>organizační příprava předání a převzetí stavby, účast na předání a převzetí stavby včetně pořízení protokolu o předání a převzetí stavby, vymezení všech vad a nedodělků včetně stanovení termínu jejich odstranění;</w:t>
      </w:r>
    </w:p>
    <w:p w14:paraId="3813004A" w14:textId="77777777" w:rsidR="006D6F91" w:rsidRPr="0071784A"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71784A">
        <w:rPr>
          <w:rFonts w:ascii="Cambria" w:hAnsi="Cambria" w:cs="Arial"/>
          <w:sz w:val="22"/>
          <w:szCs w:val="22"/>
        </w:rPr>
        <w:t>kontrola odstraňování vad a nedodělků zjištěných při přebírání v dohodnutých termínech vč. pořízení protokolu o odstranění vad a nedodělků;</w:t>
      </w:r>
    </w:p>
    <w:p w14:paraId="4BFEDFF0" w14:textId="77777777" w:rsidR="006D6F91" w:rsidRPr="0071784A"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71784A">
        <w:rPr>
          <w:rFonts w:ascii="Cambria" w:hAnsi="Cambria" w:cs="Arial"/>
          <w:sz w:val="22"/>
          <w:szCs w:val="22"/>
        </w:rPr>
        <w:t>vyhotovení závěrečné zprávy TDI o vyhodnocení svých činností k předání stavby;</w:t>
      </w:r>
    </w:p>
    <w:p w14:paraId="0BE1D7DA" w14:textId="77777777" w:rsidR="006D6F91" w:rsidRPr="0071784A"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71784A">
        <w:rPr>
          <w:rFonts w:ascii="Cambria" w:hAnsi="Cambria" w:cs="Arial"/>
          <w:sz w:val="22"/>
          <w:szCs w:val="22"/>
        </w:rPr>
        <w:t>účast a spolupráce s odpovědnými geodety na zaměření skutečného provedení stavby;</w:t>
      </w:r>
    </w:p>
    <w:p w14:paraId="72227B9E" w14:textId="77777777" w:rsidR="006D6F91" w:rsidRPr="0071784A"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71784A">
        <w:rPr>
          <w:rFonts w:ascii="Cambria" w:hAnsi="Cambria" w:cs="Arial"/>
          <w:sz w:val="22"/>
          <w:szCs w:val="22"/>
        </w:rPr>
        <w:t>kontrola dokumentace skutečného provedení stavby, protokolů a dokladů o provedených zkouškách nezbytných k vydání kolaudačního souhlasu a jejich převzetí za příkazce;</w:t>
      </w:r>
    </w:p>
    <w:p w14:paraId="2FED49CC" w14:textId="77777777" w:rsidR="006D6F91" w:rsidRPr="0071784A"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71784A">
        <w:rPr>
          <w:rFonts w:ascii="Cambria" w:hAnsi="Cambria" w:cs="Arial"/>
          <w:sz w:val="22"/>
          <w:szCs w:val="22"/>
        </w:rPr>
        <w:t>projednání postupu a rozsahu individuálních a komplexních zkoušek včetně zajištění potřebných správních povolení k jejich provedení, účast při jejich provádění a vyhodnocení;</w:t>
      </w:r>
    </w:p>
    <w:p w14:paraId="3D34D214" w14:textId="77777777" w:rsidR="006D6F91" w:rsidRPr="0071784A"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71784A">
        <w:rPr>
          <w:rFonts w:ascii="Cambria" w:hAnsi="Cambria" w:cs="Arial"/>
          <w:sz w:val="22"/>
          <w:szCs w:val="22"/>
        </w:rPr>
        <w:t>příprava a spolupráce na podkladech pro kolaudační řízení;</w:t>
      </w:r>
    </w:p>
    <w:p w14:paraId="2E6C213C" w14:textId="77777777" w:rsidR="006D6F91" w:rsidRPr="0071784A"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71784A">
        <w:rPr>
          <w:rFonts w:ascii="Cambria" w:hAnsi="Cambria" w:cs="Arial"/>
          <w:sz w:val="22"/>
          <w:szCs w:val="22"/>
        </w:rPr>
        <w:t>podání návrhu na vydání kolaudačního rozhodnutí;</w:t>
      </w:r>
    </w:p>
    <w:p w14:paraId="0543B7B8" w14:textId="77777777" w:rsidR="006D6F91" w:rsidRPr="0071784A"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71784A">
        <w:rPr>
          <w:rFonts w:ascii="Cambria" w:hAnsi="Cambria" w:cs="Arial"/>
          <w:sz w:val="22"/>
          <w:szCs w:val="22"/>
        </w:rPr>
        <w:t>účast na kolaudačním řízení;</w:t>
      </w:r>
    </w:p>
    <w:p w14:paraId="11EBB4CF" w14:textId="77777777" w:rsidR="006D6F91" w:rsidRPr="0071784A"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71784A">
        <w:rPr>
          <w:rFonts w:ascii="Cambria" w:hAnsi="Cambria" w:cs="Arial"/>
          <w:sz w:val="22"/>
          <w:szCs w:val="22"/>
        </w:rPr>
        <w:t>spolupráce a napomáhání v naplnění požadavků vyplývajících z kolaudačního rozhodnutí a zabezpečení případného odstranění kolaudačních závad;</w:t>
      </w:r>
    </w:p>
    <w:p w14:paraId="1A842E10" w14:textId="77777777" w:rsidR="006D6F91" w:rsidRPr="0071784A"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71784A">
        <w:rPr>
          <w:rFonts w:ascii="Cambria" w:hAnsi="Cambria" w:cs="Arial"/>
          <w:sz w:val="22"/>
          <w:szCs w:val="22"/>
        </w:rPr>
        <w:t>kontrolu vyklizení staveniště zhotovitelem;</w:t>
      </w:r>
    </w:p>
    <w:p w14:paraId="5BE7CC84" w14:textId="77777777" w:rsidR="006D6F91" w:rsidRPr="0071784A" w:rsidRDefault="006D6F91" w:rsidP="006D6F91">
      <w:pPr>
        <w:numPr>
          <w:ilvl w:val="1"/>
          <w:numId w:val="4"/>
        </w:numPr>
        <w:tabs>
          <w:tab w:val="clear" w:pos="1440"/>
        </w:tabs>
        <w:suppressAutoHyphens/>
        <w:spacing w:after="120"/>
        <w:ind w:left="568" w:hanging="284"/>
        <w:jc w:val="both"/>
        <w:rPr>
          <w:rFonts w:ascii="Cambria" w:hAnsi="Cambria" w:cs="Arial"/>
          <w:sz w:val="22"/>
          <w:szCs w:val="22"/>
        </w:rPr>
      </w:pPr>
      <w:r w:rsidRPr="0071784A">
        <w:rPr>
          <w:rFonts w:ascii="Cambria" w:hAnsi="Cambria" w:cs="Arial"/>
          <w:sz w:val="22"/>
          <w:szCs w:val="22"/>
        </w:rPr>
        <w:t>výkon případných dalších prací, které jsou předmětem TDI, které budou třeba k řádnému plnění, především pak shromáždění podkladů (povinných příloh) k závěrečnému vyhodnocení dotačního titulu;</w:t>
      </w:r>
    </w:p>
    <w:p w14:paraId="669DC056" w14:textId="77777777" w:rsidR="006D6F91" w:rsidRPr="0071784A" w:rsidRDefault="006D6F91" w:rsidP="006D6F91">
      <w:pPr>
        <w:numPr>
          <w:ilvl w:val="1"/>
          <w:numId w:val="4"/>
        </w:numPr>
        <w:tabs>
          <w:tab w:val="clear" w:pos="1440"/>
          <w:tab w:val="num" w:pos="567"/>
        </w:tabs>
        <w:suppressAutoHyphens/>
        <w:spacing w:after="120"/>
        <w:ind w:left="568" w:hanging="284"/>
        <w:jc w:val="both"/>
        <w:rPr>
          <w:rFonts w:ascii="Cambria" w:hAnsi="Cambria" w:cs="Arial"/>
          <w:sz w:val="22"/>
          <w:szCs w:val="22"/>
        </w:rPr>
      </w:pPr>
      <w:r w:rsidRPr="0071784A">
        <w:rPr>
          <w:rFonts w:ascii="Cambria" w:hAnsi="Cambria" w:cs="Arial"/>
          <w:sz w:val="22"/>
          <w:szCs w:val="22"/>
        </w:rPr>
        <w:t xml:space="preserve">odpovědnost za vady a škodu vzniklých v důsledku výkonu technického dozoru investora a její řešení v rámci reklamace dle </w:t>
      </w:r>
      <w:r w:rsidR="003E0D46" w:rsidRPr="0071784A">
        <w:rPr>
          <w:rFonts w:ascii="Cambria" w:hAnsi="Cambria" w:cs="Arial"/>
          <w:sz w:val="22"/>
          <w:szCs w:val="22"/>
        </w:rPr>
        <w:t>S</w:t>
      </w:r>
      <w:r w:rsidRPr="0071784A">
        <w:rPr>
          <w:rFonts w:ascii="Cambria" w:hAnsi="Cambria" w:cs="Arial"/>
          <w:sz w:val="22"/>
          <w:szCs w:val="22"/>
        </w:rPr>
        <w:t>mlouvy a příslušných právních předpisů.</w:t>
      </w:r>
    </w:p>
    <w:p w14:paraId="4CE8A205" w14:textId="77777777" w:rsidR="007A5659" w:rsidRPr="0071784A" w:rsidRDefault="007A5659" w:rsidP="007A5659">
      <w:pPr>
        <w:tabs>
          <w:tab w:val="num" w:pos="567"/>
        </w:tabs>
        <w:suppressAutoHyphens/>
        <w:spacing w:after="120"/>
        <w:ind w:left="568"/>
        <w:jc w:val="both"/>
        <w:rPr>
          <w:rFonts w:ascii="Cambria" w:hAnsi="Cambria" w:cs="Arial"/>
          <w:sz w:val="22"/>
          <w:szCs w:val="22"/>
        </w:rPr>
      </w:pPr>
    </w:p>
    <w:p w14:paraId="139C808C" w14:textId="77777777" w:rsidR="007A5659" w:rsidRPr="0071784A" w:rsidRDefault="007A5659" w:rsidP="008F2C10">
      <w:pPr>
        <w:pStyle w:val="Nadpis2"/>
        <w:pBdr>
          <w:bottom w:val="single" w:sz="12" w:space="1" w:color="2E74B5" w:themeColor="accent1" w:themeShade="BF"/>
        </w:pBdr>
        <w:jc w:val="center"/>
        <w:rPr>
          <w:b/>
          <w:sz w:val="22"/>
          <w:szCs w:val="22"/>
        </w:rPr>
      </w:pPr>
      <w:r w:rsidRPr="0071784A">
        <w:rPr>
          <w:b/>
          <w:sz w:val="22"/>
          <w:szCs w:val="22"/>
        </w:rPr>
        <w:t>Výkon</w:t>
      </w:r>
      <w:r w:rsidR="00FA4CC2" w:rsidRPr="0071784A">
        <w:rPr>
          <w:b/>
          <w:sz w:val="22"/>
          <w:szCs w:val="22"/>
        </w:rPr>
        <w:t xml:space="preserve"> koordinace</w:t>
      </w:r>
      <w:r w:rsidRPr="0071784A">
        <w:rPr>
          <w:b/>
          <w:sz w:val="22"/>
          <w:szCs w:val="22"/>
        </w:rPr>
        <w:t xml:space="preserve"> BOZP</w:t>
      </w:r>
    </w:p>
    <w:p w14:paraId="75FC2F75" w14:textId="77777777" w:rsidR="00742B42" w:rsidRPr="0071784A" w:rsidRDefault="006D6F91" w:rsidP="00742B42">
      <w:pPr>
        <w:pStyle w:val="Nadpis3"/>
        <w:numPr>
          <w:ilvl w:val="1"/>
          <w:numId w:val="10"/>
        </w:numPr>
        <w:rPr>
          <w:rFonts w:cs="Arial"/>
          <w:sz w:val="22"/>
          <w:szCs w:val="22"/>
        </w:rPr>
      </w:pPr>
      <w:r w:rsidRPr="0071784A">
        <w:rPr>
          <w:rFonts w:cs="Arial"/>
          <w:sz w:val="22"/>
          <w:szCs w:val="22"/>
        </w:rPr>
        <w:t>Příkazník se zavazuje v rámci výkonu činnosti koordinátora BOZP obstarat a zajistit splnění všech povinností příkazce jakožto stavebníka předmětné stavby plynoucí ze zákona č.</w:t>
      </w:r>
      <w:r w:rsidR="00742B42" w:rsidRPr="0071784A">
        <w:rPr>
          <w:rFonts w:cs="Arial"/>
          <w:sz w:val="22"/>
          <w:szCs w:val="22"/>
        </w:rPr>
        <w:t>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E51CF4" w:rsidRPr="0071784A">
        <w:rPr>
          <w:rFonts w:cs="Arial"/>
          <w:sz w:val="22"/>
          <w:szCs w:val="22"/>
        </w:rPr>
        <w:t>),</w:t>
      </w:r>
      <w:r w:rsidR="0071784A">
        <w:rPr>
          <w:rFonts w:cs="Arial"/>
          <w:sz w:val="22"/>
          <w:szCs w:val="22"/>
        </w:rPr>
        <w:t xml:space="preserve"> </w:t>
      </w:r>
      <w:r w:rsidRPr="0071784A">
        <w:rPr>
          <w:rFonts w:cs="Arial"/>
          <w:sz w:val="22"/>
          <w:szCs w:val="22"/>
        </w:rPr>
        <w:t>(mimo povinnosti objednatele vůči koordinátorovi bezpečnosti a ochrany zdraví při práci na staveništi) zejména níže uvedené především tyto činnosti:</w:t>
      </w:r>
    </w:p>
    <w:p w14:paraId="66B588F9" w14:textId="41A09D27" w:rsidR="008F2C10" w:rsidRPr="0071784A" w:rsidRDefault="006D6F91" w:rsidP="008F2C10">
      <w:pPr>
        <w:numPr>
          <w:ilvl w:val="1"/>
          <w:numId w:val="4"/>
        </w:numPr>
        <w:tabs>
          <w:tab w:val="clear" w:pos="1440"/>
          <w:tab w:val="num" w:pos="567"/>
        </w:tabs>
        <w:suppressAutoHyphens/>
        <w:spacing w:after="120"/>
        <w:ind w:left="568" w:hanging="284"/>
        <w:jc w:val="both"/>
        <w:rPr>
          <w:rFonts w:ascii="Cambria" w:hAnsi="Cambria" w:cs="Arial"/>
          <w:sz w:val="22"/>
          <w:szCs w:val="22"/>
        </w:rPr>
      </w:pPr>
      <w:r w:rsidRPr="0071784A">
        <w:rPr>
          <w:rFonts w:ascii="Cambria" w:hAnsi="Cambria" w:cs="Arial"/>
          <w:sz w:val="22"/>
          <w:szCs w:val="22"/>
        </w:rPr>
        <w:lastRenderedPageBreak/>
        <w:t>doručí oznámení</w:t>
      </w:r>
      <w:r w:rsidR="00E51CF4" w:rsidRPr="0071784A">
        <w:rPr>
          <w:rFonts w:ascii="Cambria" w:hAnsi="Cambria" w:cs="Arial"/>
          <w:sz w:val="22"/>
          <w:szCs w:val="22"/>
        </w:rPr>
        <w:t xml:space="preserve"> </w:t>
      </w:r>
      <w:r w:rsidR="0039195C">
        <w:rPr>
          <w:rFonts w:ascii="Cambria" w:hAnsi="Cambria" w:cs="Arial"/>
          <w:sz w:val="22"/>
          <w:szCs w:val="22"/>
        </w:rPr>
        <w:t xml:space="preserve">o zahájení prací </w:t>
      </w:r>
      <w:r w:rsidRPr="0071784A">
        <w:rPr>
          <w:rFonts w:ascii="Cambria" w:hAnsi="Cambria" w:cs="Arial"/>
          <w:sz w:val="22"/>
          <w:szCs w:val="22"/>
        </w:rPr>
        <w:t>oblastnímu inspektorátu práce příslušnému podle místa staveniště neprodleně po podání oznámení o zahájení prací tak, aby nejpozději do 8 dnů před předáním staveniště zhotoviteli příkazník předal příkazci kopii oznámení s potvrzením o jeho podání příslušnému úřadu,</w:t>
      </w:r>
    </w:p>
    <w:p w14:paraId="5D54A0D5" w14:textId="27A636B4" w:rsidR="008F2C10" w:rsidRPr="0071784A" w:rsidRDefault="0039195C" w:rsidP="008F2C10">
      <w:pPr>
        <w:numPr>
          <w:ilvl w:val="1"/>
          <w:numId w:val="4"/>
        </w:numPr>
        <w:tabs>
          <w:tab w:val="clear" w:pos="1440"/>
          <w:tab w:val="num" w:pos="567"/>
        </w:tabs>
        <w:suppressAutoHyphens/>
        <w:spacing w:after="120"/>
        <w:ind w:left="568" w:hanging="284"/>
        <w:jc w:val="both"/>
        <w:rPr>
          <w:rFonts w:ascii="Cambria" w:hAnsi="Cambria" w:cs="Arial"/>
          <w:sz w:val="22"/>
          <w:szCs w:val="22"/>
        </w:rPr>
      </w:pPr>
      <w:r>
        <w:rPr>
          <w:rFonts w:ascii="Cambria" w:hAnsi="Cambria" w:cs="Arial"/>
          <w:sz w:val="22"/>
          <w:szCs w:val="22"/>
        </w:rPr>
        <w:t>stejnopis oznámení</w:t>
      </w:r>
      <w:r w:rsidR="006D6F91" w:rsidRPr="0071784A">
        <w:rPr>
          <w:rFonts w:ascii="Cambria" w:hAnsi="Cambria" w:cs="Arial"/>
          <w:sz w:val="22"/>
          <w:szCs w:val="22"/>
        </w:rPr>
        <w:t xml:space="preserve"> vyvěsí v souladu </w:t>
      </w:r>
      <w:r>
        <w:rPr>
          <w:rFonts w:ascii="Cambria" w:hAnsi="Cambria" w:cs="Arial"/>
          <w:sz w:val="22"/>
          <w:szCs w:val="22"/>
        </w:rPr>
        <w:t>se stavebním zákonem,</w:t>
      </w:r>
    </w:p>
    <w:p w14:paraId="12AAE632" w14:textId="77777777" w:rsidR="008F2C10" w:rsidRPr="0071784A" w:rsidRDefault="006D6F91" w:rsidP="008F2C10">
      <w:pPr>
        <w:numPr>
          <w:ilvl w:val="1"/>
          <w:numId w:val="4"/>
        </w:numPr>
        <w:tabs>
          <w:tab w:val="clear" w:pos="1440"/>
          <w:tab w:val="num" w:pos="567"/>
        </w:tabs>
        <w:suppressAutoHyphens/>
        <w:spacing w:after="120"/>
        <w:ind w:left="568" w:hanging="284"/>
        <w:jc w:val="both"/>
        <w:rPr>
          <w:rFonts w:ascii="Cambria" w:hAnsi="Cambria" w:cs="Arial"/>
          <w:sz w:val="22"/>
          <w:szCs w:val="22"/>
        </w:rPr>
      </w:pPr>
      <w:r w:rsidRPr="0071784A">
        <w:rPr>
          <w:rFonts w:ascii="Cambria" w:hAnsi="Cambria" w:cs="Arial"/>
          <w:sz w:val="22"/>
          <w:szCs w:val="22"/>
        </w:rPr>
        <w:t xml:space="preserve">zajistí, aby před zahájením prací na staveništi byl zpracován plán bezpečnosti </w:t>
      </w:r>
      <w:r w:rsidRPr="0071784A">
        <w:rPr>
          <w:rFonts w:ascii="Cambria" w:hAnsi="Cambria" w:cs="Arial"/>
          <w:sz w:val="22"/>
          <w:szCs w:val="22"/>
        </w:rPr>
        <w:br/>
        <w:t>a ochrany zdraví při práci na staveništi,</w:t>
      </w:r>
    </w:p>
    <w:p w14:paraId="414DC556" w14:textId="77777777" w:rsidR="008F2C10" w:rsidRPr="0071784A" w:rsidRDefault="008F2C10" w:rsidP="008F2C10">
      <w:pPr>
        <w:numPr>
          <w:ilvl w:val="1"/>
          <w:numId w:val="4"/>
        </w:numPr>
        <w:tabs>
          <w:tab w:val="clear" w:pos="1440"/>
          <w:tab w:val="num" w:pos="567"/>
        </w:tabs>
        <w:suppressAutoHyphens/>
        <w:spacing w:after="120"/>
        <w:ind w:left="568" w:hanging="284"/>
        <w:jc w:val="both"/>
        <w:rPr>
          <w:rFonts w:ascii="Cambria" w:hAnsi="Cambria" w:cs="Arial"/>
          <w:sz w:val="22"/>
          <w:szCs w:val="22"/>
        </w:rPr>
      </w:pPr>
      <w:r w:rsidRPr="0071784A">
        <w:rPr>
          <w:rFonts w:ascii="Cambria" w:hAnsi="Cambria" w:cs="Arial"/>
          <w:sz w:val="22"/>
          <w:szCs w:val="22"/>
        </w:rPr>
        <w:t>i</w:t>
      </w:r>
      <w:r w:rsidR="006D6F91" w:rsidRPr="0071784A">
        <w:rPr>
          <w:rFonts w:ascii="Cambria" w:hAnsi="Cambria" w:cs="Arial"/>
          <w:sz w:val="22"/>
          <w:szCs w:val="22"/>
        </w:rPr>
        <w:t>nformuje všechny dotčené zhotovitele stavby o bezpečnostních a zdravotních rizicích, která vznikla na staveništi během postupu prací,</w:t>
      </w:r>
    </w:p>
    <w:p w14:paraId="5F983E6B" w14:textId="77777777" w:rsidR="008F2C10" w:rsidRPr="0071784A" w:rsidRDefault="006D6F91" w:rsidP="008F2C10">
      <w:pPr>
        <w:numPr>
          <w:ilvl w:val="1"/>
          <w:numId w:val="4"/>
        </w:numPr>
        <w:tabs>
          <w:tab w:val="clear" w:pos="1440"/>
          <w:tab w:val="num" w:pos="567"/>
        </w:tabs>
        <w:suppressAutoHyphens/>
        <w:spacing w:after="120"/>
        <w:ind w:left="568" w:hanging="284"/>
        <w:jc w:val="both"/>
        <w:rPr>
          <w:rFonts w:ascii="Cambria" w:hAnsi="Cambria" w:cs="Arial"/>
          <w:sz w:val="22"/>
          <w:szCs w:val="22"/>
        </w:rPr>
      </w:pPr>
      <w:r w:rsidRPr="0071784A">
        <w:rPr>
          <w:rFonts w:ascii="Cambria" w:hAnsi="Cambria" w:cs="Arial"/>
          <w:sz w:val="22"/>
          <w:szCs w:val="22"/>
        </w:rPr>
        <w:t xml:space="preserve">průběžně upozorňuje zhotovitele stavby na nedostatky v uplatňování požadavků </w:t>
      </w:r>
      <w:r w:rsidRPr="0071784A">
        <w:rPr>
          <w:rFonts w:ascii="Cambria" w:hAnsi="Cambria" w:cs="Arial"/>
          <w:sz w:val="22"/>
          <w:szCs w:val="22"/>
        </w:rPr>
        <w:br/>
        <w:t>na bezpečnost a ochranu zdraví při práci zjištěné na pracovišti převzatém zhotovitelem</w:t>
      </w:r>
      <w:r w:rsidRPr="0071784A">
        <w:rPr>
          <w:rFonts w:ascii="Cambria" w:hAnsi="Cambria" w:cs="Arial"/>
          <w:sz w:val="22"/>
          <w:szCs w:val="22"/>
        </w:rPr>
        <w:br/>
        <w:t>stavby a vyžaduje zjednání nápravy; k tomu je oprávněn navrhovat přiměřená opatření,</w:t>
      </w:r>
    </w:p>
    <w:p w14:paraId="6E9F8854" w14:textId="77777777" w:rsidR="008F2C10" w:rsidRPr="0071784A" w:rsidRDefault="006D6F91" w:rsidP="008F2C10">
      <w:pPr>
        <w:numPr>
          <w:ilvl w:val="1"/>
          <w:numId w:val="4"/>
        </w:numPr>
        <w:tabs>
          <w:tab w:val="clear" w:pos="1440"/>
          <w:tab w:val="num" w:pos="567"/>
        </w:tabs>
        <w:suppressAutoHyphens/>
        <w:spacing w:after="120"/>
        <w:ind w:left="568" w:hanging="284"/>
        <w:jc w:val="both"/>
        <w:rPr>
          <w:rFonts w:ascii="Cambria" w:hAnsi="Cambria" w:cs="Arial"/>
          <w:sz w:val="22"/>
          <w:szCs w:val="22"/>
        </w:rPr>
      </w:pPr>
      <w:r w:rsidRPr="0071784A">
        <w:rPr>
          <w:rFonts w:ascii="Cambria" w:hAnsi="Cambria" w:cs="Arial"/>
          <w:sz w:val="22"/>
          <w:szCs w:val="22"/>
        </w:rPr>
        <w:t>oznamuje zadavateli stavby případy podle předcházejícího bodu, nebyla-li zhotovitelem stavby neprodleně přijata přiměřená opatření ke zjednání nápravy,</w:t>
      </w:r>
    </w:p>
    <w:p w14:paraId="793DE936" w14:textId="77777777" w:rsidR="008F2C10" w:rsidRPr="0071784A" w:rsidRDefault="006D6F91" w:rsidP="008F2C10">
      <w:pPr>
        <w:numPr>
          <w:ilvl w:val="1"/>
          <w:numId w:val="4"/>
        </w:numPr>
        <w:tabs>
          <w:tab w:val="clear" w:pos="1440"/>
          <w:tab w:val="num" w:pos="567"/>
        </w:tabs>
        <w:suppressAutoHyphens/>
        <w:spacing w:after="120"/>
        <w:ind w:left="568" w:hanging="284"/>
        <w:jc w:val="both"/>
        <w:rPr>
          <w:rFonts w:ascii="Cambria" w:hAnsi="Cambria" w:cs="Arial"/>
          <w:sz w:val="22"/>
          <w:szCs w:val="22"/>
        </w:rPr>
      </w:pPr>
      <w:r w:rsidRPr="0071784A">
        <w:rPr>
          <w:rFonts w:ascii="Cambria" w:hAnsi="Cambria" w:cs="Arial"/>
          <w:sz w:val="22"/>
          <w:szCs w:val="22"/>
        </w:rPr>
        <w:t xml:space="preserve">koordinuje spolupráci zhotovitelů nebo osob jimi pověřených při přijímání opatření </w:t>
      </w:r>
      <w:r w:rsidRPr="0071784A">
        <w:rPr>
          <w:rFonts w:ascii="Cambria" w:hAnsi="Cambria" w:cs="Arial"/>
          <w:sz w:val="22"/>
          <w:szCs w:val="22"/>
        </w:rPr>
        <w:br/>
        <w:t xml:space="preserve">k zajištění bezpečnosti a ochrany zdraví při práci se zřetelem na povahu stavby </w:t>
      </w:r>
      <w:r w:rsidRPr="0071784A">
        <w:rPr>
          <w:rFonts w:ascii="Cambria" w:hAnsi="Cambria" w:cs="Arial"/>
          <w:sz w:val="22"/>
          <w:szCs w:val="22"/>
        </w:rPr>
        <w:br/>
        <w:t xml:space="preserve">a na všeobecné zásady prevence rizik a činnosti prováděné na staveništi současně </w:t>
      </w:r>
      <w:r w:rsidRPr="0071784A">
        <w:rPr>
          <w:rFonts w:ascii="Cambria" w:hAnsi="Cambria" w:cs="Arial"/>
          <w:sz w:val="22"/>
          <w:szCs w:val="22"/>
        </w:rPr>
        <w:br/>
        <w:t>v těsné návaznosti, s cílem chránit zdraví fyzických osob, zabraňovat pracovním úrazům a předcházet vzniku nemocí z povolání,</w:t>
      </w:r>
    </w:p>
    <w:p w14:paraId="5728AFA2" w14:textId="77777777" w:rsidR="008F2C10" w:rsidRPr="0071784A" w:rsidRDefault="006D6F91" w:rsidP="008F2C10">
      <w:pPr>
        <w:numPr>
          <w:ilvl w:val="1"/>
          <w:numId w:val="4"/>
        </w:numPr>
        <w:tabs>
          <w:tab w:val="clear" w:pos="1440"/>
          <w:tab w:val="num" w:pos="567"/>
        </w:tabs>
        <w:suppressAutoHyphens/>
        <w:spacing w:after="120"/>
        <w:ind w:left="568" w:hanging="284"/>
        <w:jc w:val="both"/>
        <w:rPr>
          <w:rFonts w:ascii="Cambria" w:hAnsi="Cambria" w:cs="Arial"/>
          <w:sz w:val="22"/>
          <w:szCs w:val="22"/>
        </w:rPr>
      </w:pPr>
      <w:r w:rsidRPr="0071784A">
        <w:rPr>
          <w:rFonts w:ascii="Cambria" w:hAnsi="Cambria" w:cs="Arial"/>
          <w:sz w:val="22"/>
          <w:szCs w:val="22"/>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nebo na sebe budou bezprostředně navazovat,</w:t>
      </w:r>
    </w:p>
    <w:p w14:paraId="4EE6ACCC" w14:textId="77777777" w:rsidR="008F2C10" w:rsidRPr="0071784A" w:rsidRDefault="006D6F91" w:rsidP="008F2C10">
      <w:pPr>
        <w:numPr>
          <w:ilvl w:val="1"/>
          <w:numId w:val="4"/>
        </w:numPr>
        <w:tabs>
          <w:tab w:val="clear" w:pos="1440"/>
          <w:tab w:val="num" w:pos="567"/>
        </w:tabs>
        <w:suppressAutoHyphens/>
        <w:spacing w:after="120"/>
        <w:ind w:left="568" w:hanging="284"/>
        <w:jc w:val="both"/>
        <w:rPr>
          <w:rFonts w:ascii="Cambria" w:hAnsi="Cambria" w:cs="Arial"/>
          <w:sz w:val="22"/>
          <w:szCs w:val="22"/>
        </w:rPr>
      </w:pPr>
      <w:r w:rsidRPr="0071784A">
        <w:rPr>
          <w:rFonts w:ascii="Cambria" w:hAnsi="Cambria" w:cs="Arial"/>
          <w:sz w:val="22"/>
          <w:szCs w:val="22"/>
        </w:rPr>
        <w:t>spolupracuje při stanovení času potřebného k bezpečnému provádění jednotlivých prací nebo činností,</w:t>
      </w:r>
    </w:p>
    <w:p w14:paraId="027FEAE0" w14:textId="77777777" w:rsidR="008F2C10" w:rsidRPr="0071784A" w:rsidRDefault="006D6F91" w:rsidP="008F2C10">
      <w:pPr>
        <w:numPr>
          <w:ilvl w:val="1"/>
          <w:numId w:val="4"/>
        </w:numPr>
        <w:tabs>
          <w:tab w:val="clear" w:pos="1440"/>
          <w:tab w:val="num" w:pos="567"/>
        </w:tabs>
        <w:suppressAutoHyphens/>
        <w:spacing w:after="120"/>
        <w:ind w:left="568" w:hanging="284"/>
        <w:jc w:val="both"/>
        <w:rPr>
          <w:rFonts w:ascii="Cambria" w:hAnsi="Cambria" w:cs="Arial"/>
          <w:sz w:val="22"/>
          <w:szCs w:val="22"/>
        </w:rPr>
      </w:pPr>
      <w:r w:rsidRPr="0071784A">
        <w:rPr>
          <w:rFonts w:ascii="Cambria" w:hAnsi="Cambria" w:cs="Arial"/>
          <w:sz w:val="22"/>
          <w:szCs w:val="22"/>
        </w:rPr>
        <w:t>sleduje provádění prací na staveništi se zaměřením na zjišťování, zda jsou dodržovány požadavky na bezpečnosti a ochranu zdraví při práci, upozorňuje na zjištěné nedostatky a požaduje bez zbytečného odkladu zjednání nápravy,</w:t>
      </w:r>
    </w:p>
    <w:p w14:paraId="006241E9" w14:textId="77777777" w:rsidR="008F2C10" w:rsidRPr="0071784A" w:rsidRDefault="006D6F91" w:rsidP="008F2C10">
      <w:pPr>
        <w:numPr>
          <w:ilvl w:val="1"/>
          <w:numId w:val="4"/>
        </w:numPr>
        <w:tabs>
          <w:tab w:val="clear" w:pos="1440"/>
          <w:tab w:val="num" w:pos="567"/>
        </w:tabs>
        <w:suppressAutoHyphens/>
        <w:spacing w:after="120"/>
        <w:ind w:left="568" w:hanging="284"/>
        <w:jc w:val="both"/>
        <w:rPr>
          <w:rFonts w:ascii="Cambria" w:hAnsi="Cambria" w:cs="Arial"/>
          <w:sz w:val="22"/>
          <w:szCs w:val="22"/>
        </w:rPr>
      </w:pPr>
      <w:r w:rsidRPr="0071784A">
        <w:rPr>
          <w:rFonts w:ascii="Cambria" w:hAnsi="Cambria" w:cs="Arial"/>
          <w:sz w:val="22"/>
          <w:szCs w:val="22"/>
        </w:rPr>
        <w:t>kontroluje zabezpečení obvodu staveniště, včetně vstupu a vjezdu na staveniště s cílem zamezit vstup nepovolaným fyzickým osobám,</w:t>
      </w:r>
    </w:p>
    <w:p w14:paraId="54873367" w14:textId="77777777" w:rsidR="008F2C10" w:rsidRPr="0071784A" w:rsidRDefault="006D6F91" w:rsidP="008F2C10">
      <w:pPr>
        <w:numPr>
          <w:ilvl w:val="1"/>
          <w:numId w:val="4"/>
        </w:numPr>
        <w:tabs>
          <w:tab w:val="clear" w:pos="1440"/>
          <w:tab w:val="num" w:pos="567"/>
        </w:tabs>
        <w:suppressAutoHyphens/>
        <w:spacing w:after="120"/>
        <w:ind w:left="568" w:hanging="284"/>
        <w:jc w:val="both"/>
        <w:rPr>
          <w:rFonts w:ascii="Cambria" w:hAnsi="Cambria" w:cs="Arial"/>
          <w:sz w:val="22"/>
          <w:szCs w:val="22"/>
        </w:rPr>
      </w:pPr>
      <w:r w:rsidRPr="0071784A">
        <w:rPr>
          <w:rFonts w:ascii="Cambria" w:hAnsi="Cambria" w:cs="Arial"/>
          <w:sz w:val="22"/>
          <w:szCs w:val="22"/>
        </w:rPr>
        <w:t>vede databázi závad zjištěných při své činnosti včetně fotodokumentace,</w:t>
      </w:r>
    </w:p>
    <w:p w14:paraId="61CBEA40" w14:textId="77777777" w:rsidR="008F2C10" w:rsidRPr="0071784A" w:rsidRDefault="006D6F91" w:rsidP="008F2C10">
      <w:pPr>
        <w:numPr>
          <w:ilvl w:val="1"/>
          <w:numId w:val="4"/>
        </w:numPr>
        <w:tabs>
          <w:tab w:val="clear" w:pos="1440"/>
          <w:tab w:val="num" w:pos="567"/>
        </w:tabs>
        <w:suppressAutoHyphens/>
        <w:spacing w:after="120"/>
        <w:ind w:left="568" w:hanging="284"/>
        <w:jc w:val="both"/>
        <w:rPr>
          <w:rFonts w:ascii="Cambria" w:hAnsi="Cambria" w:cs="Arial"/>
          <w:sz w:val="22"/>
          <w:szCs w:val="22"/>
        </w:rPr>
      </w:pPr>
      <w:r w:rsidRPr="0071784A">
        <w:rPr>
          <w:rFonts w:ascii="Cambria" w:hAnsi="Cambria" w:cs="Arial"/>
          <w:sz w:val="22"/>
          <w:szCs w:val="22"/>
        </w:rPr>
        <w:t>spolupracuje se zástupci zaměstnanců pro oblast bezpečnosti a ochrany zdraví při práci a s příslušnými odborovými organizacemi, popřípadě s fyzickou osobou provádějící technický dozor stavebníka,</w:t>
      </w:r>
    </w:p>
    <w:p w14:paraId="66E68226" w14:textId="77777777" w:rsidR="008F2C10" w:rsidRPr="0071784A" w:rsidRDefault="006D6F91" w:rsidP="008F2C10">
      <w:pPr>
        <w:numPr>
          <w:ilvl w:val="1"/>
          <w:numId w:val="4"/>
        </w:numPr>
        <w:tabs>
          <w:tab w:val="clear" w:pos="1440"/>
          <w:tab w:val="num" w:pos="567"/>
        </w:tabs>
        <w:suppressAutoHyphens/>
        <w:spacing w:after="120"/>
        <w:ind w:left="568" w:hanging="284"/>
        <w:jc w:val="both"/>
        <w:rPr>
          <w:rFonts w:ascii="Cambria" w:hAnsi="Cambria" w:cs="Arial"/>
          <w:sz w:val="22"/>
          <w:szCs w:val="22"/>
        </w:rPr>
      </w:pPr>
      <w:r w:rsidRPr="0071784A">
        <w:rPr>
          <w:rFonts w:ascii="Cambria" w:hAnsi="Cambria" w:cs="Arial"/>
          <w:sz w:val="22"/>
          <w:szCs w:val="22"/>
        </w:rPr>
        <w:t>navrhuje termíny kontrolních dnů k dodržování plánů bezpečnosti na staveništi za účasti zhotovitelů nebo osob jím pověřených a organizuje jejich konání,</w:t>
      </w:r>
    </w:p>
    <w:p w14:paraId="341BD109" w14:textId="77777777" w:rsidR="008F2C10" w:rsidRPr="0071784A" w:rsidRDefault="006D6F91" w:rsidP="008F2C10">
      <w:pPr>
        <w:numPr>
          <w:ilvl w:val="1"/>
          <w:numId w:val="4"/>
        </w:numPr>
        <w:tabs>
          <w:tab w:val="clear" w:pos="1440"/>
          <w:tab w:val="num" w:pos="567"/>
        </w:tabs>
        <w:suppressAutoHyphens/>
        <w:spacing w:after="120"/>
        <w:ind w:left="568" w:hanging="284"/>
        <w:jc w:val="both"/>
        <w:rPr>
          <w:rFonts w:ascii="Cambria" w:hAnsi="Cambria" w:cs="Arial"/>
          <w:sz w:val="22"/>
          <w:szCs w:val="22"/>
        </w:rPr>
      </w:pPr>
      <w:r w:rsidRPr="0071784A">
        <w:rPr>
          <w:rFonts w:ascii="Cambria" w:hAnsi="Cambria" w:cs="Arial"/>
          <w:sz w:val="22"/>
          <w:szCs w:val="22"/>
        </w:rPr>
        <w:t>sleduje, zda zhotovitelé dodržují plán bezpečnosti na staveništi a projednává s nimi přijetí opatření a termíny k nápravě zjištěných nedostatků,</w:t>
      </w:r>
    </w:p>
    <w:p w14:paraId="2A2F08F5" w14:textId="77777777" w:rsidR="008F2C10" w:rsidRPr="0071784A" w:rsidRDefault="006D6F91" w:rsidP="008F2C10">
      <w:pPr>
        <w:numPr>
          <w:ilvl w:val="1"/>
          <w:numId w:val="4"/>
        </w:numPr>
        <w:tabs>
          <w:tab w:val="clear" w:pos="1440"/>
          <w:tab w:val="num" w:pos="567"/>
        </w:tabs>
        <w:suppressAutoHyphens/>
        <w:spacing w:after="120"/>
        <w:ind w:left="568" w:hanging="284"/>
        <w:jc w:val="both"/>
        <w:rPr>
          <w:rFonts w:ascii="Cambria" w:hAnsi="Cambria" w:cs="Arial"/>
          <w:sz w:val="22"/>
          <w:szCs w:val="22"/>
        </w:rPr>
      </w:pPr>
      <w:r w:rsidRPr="0071784A">
        <w:rPr>
          <w:rFonts w:ascii="Cambria" w:hAnsi="Cambria" w:cs="Arial"/>
          <w:sz w:val="22"/>
          <w:szCs w:val="22"/>
        </w:rPr>
        <w:t>provádí zápisy o zjištěných nedostatcích v bezpečnosti a ochraně zdraví při práci na staveništi, na něž prokazatelně upozornil zhotovitele, a dále zapisuje údaje o tom, zda a jakým způsobem byly tyto nedostatky odstraněny,</w:t>
      </w:r>
    </w:p>
    <w:p w14:paraId="69776BCE" w14:textId="77777777" w:rsidR="008F2C10" w:rsidRPr="0071784A" w:rsidRDefault="006D6F91" w:rsidP="008F2C10">
      <w:pPr>
        <w:numPr>
          <w:ilvl w:val="1"/>
          <w:numId w:val="4"/>
        </w:numPr>
        <w:tabs>
          <w:tab w:val="clear" w:pos="1440"/>
          <w:tab w:val="num" w:pos="567"/>
        </w:tabs>
        <w:suppressAutoHyphens/>
        <w:spacing w:after="120"/>
        <w:ind w:left="568" w:hanging="284"/>
        <w:jc w:val="both"/>
        <w:rPr>
          <w:rFonts w:ascii="Cambria" w:hAnsi="Cambria" w:cs="Arial"/>
          <w:sz w:val="22"/>
          <w:szCs w:val="22"/>
        </w:rPr>
      </w:pPr>
      <w:r w:rsidRPr="0071784A">
        <w:rPr>
          <w:rFonts w:ascii="Cambria" w:hAnsi="Cambria" w:cs="Arial"/>
          <w:sz w:val="22"/>
          <w:szCs w:val="22"/>
        </w:rPr>
        <w:t xml:space="preserve">vede bezpečnostní deník, do kterého jsou zaznamenávány veškeré skutečnosti týkající se bezpečnosti a ochrany zdraví při práci na staveništi, zejména pak: seznámení s plánem BOZP na staveništi, zápisy z pravidelných kontrolních dnů BOZP, nedostatky zjištěné při pochůzkách na stavbě včetně uložení opatření k nápravě, oznámení o nepřijetí uložených </w:t>
      </w:r>
      <w:r w:rsidRPr="0071784A">
        <w:rPr>
          <w:rFonts w:ascii="Cambria" w:hAnsi="Cambria" w:cs="Arial"/>
          <w:sz w:val="22"/>
          <w:szCs w:val="22"/>
        </w:rPr>
        <w:lastRenderedPageBreak/>
        <w:t>opatření k nápravě, koordinace s techniky BOZP jednotlivých (sub)zhotovitelů, koordinace činností jednotlivých (sub)zhotovitelů s cílem vyloučení bezpečnostních kolizí, kontrola dodržování čistoty a pořádku na staveništi,</w:t>
      </w:r>
    </w:p>
    <w:p w14:paraId="256F9EA5" w14:textId="77777777" w:rsidR="00CC0729" w:rsidRPr="00C0481E" w:rsidRDefault="006D6F91" w:rsidP="008F2C10">
      <w:pPr>
        <w:numPr>
          <w:ilvl w:val="1"/>
          <w:numId w:val="4"/>
        </w:numPr>
        <w:tabs>
          <w:tab w:val="clear" w:pos="1440"/>
          <w:tab w:val="num" w:pos="567"/>
        </w:tabs>
        <w:suppressAutoHyphens/>
        <w:spacing w:after="120"/>
        <w:ind w:left="568" w:hanging="284"/>
        <w:jc w:val="both"/>
        <w:rPr>
          <w:rFonts w:ascii="Cambria" w:hAnsi="Cambria" w:cs="Arial"/>
          <w:sz w:val="22"/>
          <w:szCs w:val="22"/>
        </w:rPr>
      </w:pPr>
      <w:r w:rsidRPr="0071784A">
        <w:rPr>
          <w:rFonts w:ascii="Cambria" w:hAnsi="Cambria" w:cs="Arial"/>
          <w:sz w:val="22"/>
          <w:szCs w:val="22"/>
        </w:rPr>
        <w:t xml:space="preserve">O své činnosti podává příkazci průběžně výkazy činnosti formou zápisů z kontrolních </w:t>
      </w:r>
      <w:r w:rsidR="008F2C10" w:rsidRPr="0071784A">
        <w:rPr>
          <w:rFonts w:ascii="Cambria" w:hAnsi="Cambria" w:cs="Arial"/>
          <w:sz w:val="22"/>
          <w:szCs w:val="22"/>
        </w:rPr>
        <w:t>dnů a závěrečnou</w:t>
      </w:r>
      <w:r w:rsidRPr="0071784A">
        <w:rPr>
          <w:rFonts w:ascii="Cambria" w:hAnsi="Cambria" w:cs="Arial"/>
          <w:sz w:val="22"/>
          <w:szCs w:val="22"/>
        </w:rPr>
        <w:t xml:space="preserve"> zprávu po ukončení </w:t>
      </w:r>
      <w:r w:rsidRPr="00C0481E">
        <w:rPr>
          <w:rFonts w:ascii="Cambria" w:hAnsi="Cambria" w:cs="Arial"/>
          <w:sz w:val="22"/>
          <w:szCs w:val="22"/>
        </w:rPr>
        <w:t>předmětu plnění</w:t>
      </w:r>
      <w:r w:rsidR="008F2C10" w:rsidRPr="00C0481E">
        <w:rPr>
          <w:rFonts w:ascii="Cambria" w:hAnsi="Cambria" w:cs="Arial"/>
          <w:sz w:val="22"/>
          <w:szCs w:val="22"/>
        </w:rPr>
        <w:t>.</w:t>
      </w:r>
    </w:p>
    <w:p w14:paraId="4625ED7E" w14:textId="77777777" w:rsidR="00742B42" w:rsidRPr="00C0481E" w:rsidRDefault="00742B42" w:rsidP="00742B42">
      <w:pPr>
        <w:suppressAutoHyphens/>
        <w:spacing w:after="120"/>
        <w:ind w:left="568"/>
        <w:jc w:val="both"/>
        <w:rPr>
          <w:rFonts w:ascii="Cambria" w:hAnsi="Cambria" w:cs="Arial"/>
          <w:sz w:val="22"/>
          <w:szCs w:val="22"/>
        </w:rPr>
      </w:pPr>
    </w:p>
    <w:p w14:paraId="3814D48A" w14:textId="77777777" w:rsidR="00742B42" w:rsidRPr="00C0481E" w:rsidRDefault="00742B42" w:rsidP="00742B42">
      <w:pPr>
        <w:pStyle w:val="Nadpis2"/>
        <w:pBdr>
          <w:bottom w:val="single" w:sz="12" w:space="1" w:color="2E74B5" w:themeColor="accent1" w:themeShade="BF"/>
        </w:pBdr>
        <w:jc w:val="center"/>
        <w:rPr>
          <w:b/>
          <w:sz w:val="22"/>
          <w:szCs w:val="22"/>
        </w:rPr>
      </w:pPr>
      <w:r w:rsidRPr="00C0481E">
        <w:rPr>
          <w:b/>
          <w:sz w:val="22"/>
          <w:szCs w:val="22"/>
        </w:rPr>
        <w:t>Platební podmínky</w:t>
      </w:r>
    </w:p>
    <w:p w14:paraId="122A7CD7" w14:textId="77777777" w:rsidR="00306A02" w:rsidRPr="00C0481E" w:rsidRDefault="00306A02" w:rsidP="00306A02">
      <w:pPr>
        <w:pStyle w:val="Nadpis3"/>
        <w:numPr>
          <w:ilvl w:val="1"/>
          <w:numId w:val="13"/>
        </w:numPr>
        <w:rPr>
          <w:sz w:val="22"/>
          <w:szCs w:val="22"/>
        </w:rPr>
      </w:pPr>
      <w:r w:rsidRPr="00C0481E">
        <w:rPr>
          <w:sz w:val="22"/>
          <w:szCs w:val="22"/>
        </w:rPr>
        <w:t xml:space="preserve">Odměnu dle Smlouvy uhradí </w:t>
      </w:r>
      <w:r w:rsidR="003338A2" w:rsidRPr="00C0481E">
        <w:rPr>
          <w:sz w:val="22"/>
          <w:szCs w:val="22"/>
        </w:rPr>
        <w:t>p</w:t>
      </w:r>
      <w:r w:rsidRPr="00C0481E">
        <w:rPr>
          <w:sz w:val="22"/>
          <w:szCs w:val="22"/>
        </w:rPr>
        <w:t xml:space="preserve">říkazník </w:t>
      </w:r>
      <w:r w:rsidR="003338A2" w:rsidRPr="00C0481E">
        <w:rPr>
          <w:sz w:val="22"/>
          <w:szCs w:val="22"/>
        </w:rPr>
        <w:t>p</w:t>
      </w:r>
      <w:r w:rsidRPr="00C0481E">
        <w:rPr>
          <w:sz w:val="22"/>
          <w:szCs w:val="22"/>
        </w:rPr>
        <w:t>říkazci na základě daňového dokladu (dále jen jako „</w:t>
      </w:r>
      <w:r w:rsidRPr="00C0481E">
        <w:rPr>
          <w:bCs/>
          <w:iCs/>
          <w:sz w:val="22"/>
          <w:szCs w:val="22"/>
        </w:rPr>
        <w:t>faktura</w:t>
      </w:r>
      <w:r w:rsidRPr="00C0481E">
        <w:rPr>
          <w:sz w:val="22"/>
          <w:szCs w:val="22"/>
        </w:rPr>
        <w:t xml:space="preserve">“). Fakturu </w:t>
      </w:r>
      <w:r w:rsidR="003338A2" w:rsidRPr="00C0481E">
        <w:rPr>
          <w:sz w:val="22"/>
          <w:szCs w:val="22"/>
        </w:rPr>
        <w:t>p</w:t>
      </w:r>
      <w:r w:rsidRPr="00C0481E">
        <w:rPr>
          <w:sz w:val="22"/>
          <w:szCs w:val="22"/>
        </w:rPr>
        <w:t>říkazník vystaví na základě oboustranně podepsaného předávacího protokolu v zákonné lhůtě ode dne uskutečnění zdanitelného plnění. Lhůta splatnosti faktury se sjednává na 30 dnů ode dne prokazatelného doručení faktury do místa plnění dle čl. V odst. 1 Smlouvy.</w:t>
      </w:r>
    </w:p>
    <w:p w14:paraId="0303FB42" w14:textId="77777777" w:rsidR="00306A02" w:rsidRPr="00C0481E" w:rsidRDefault="00306A02" w:rsidP="00306A02">
      <w:pPr>
        <w:pStyle w:val="Nadpis3"/>
        <w:numPr>
          <w:ilvl w:val="1"/>
          <w:numId w:val="13"/>
        </w:numPr>
        <w:rPr>
          <w:sz w:val="22"/>
          <w:szCs w:val="22"/>
        </w:rPr>
      </w:pPr>
      <w:r w:rsidRPr="00C0481E">
        <w:rPr>
          <w:sz w:val="22"/>
          <w:szCs w:val="22"/>
        </w:rPr>
        <w:t>Sazba DPH odpovídá platné a účinné právní úpravě v době zdanitelného plnění.</w:t>
      </w:r>
    </w:p>
    <w:p w14:paraId="4ACABA77" w14:textId="77777777" w:rsidR="00306A02" w:rsidRPr="00C0481E" w:rsidRDefault="00306A02" w:rsidP="00306A02">
      <w:pPr>
        <w:pStyle w:val="Nadpis3"/>
        <w:numPr>
          <w:ilvl w:val="1"/>
          <w:numId w:val="13"/>
        </w:numPr>
        <w:rPr>
          <w:sz w:val="22"/>
          <w:szCs w:val="22"/>
        </w:rPr>
      </w:pPr>
      <w:r w:rsidRPr="00C0481E">
        <w:rPr>
          <w:sz w:val="22"/>
          <w:szCs w:val="22"/>
        </w:rPr>
        <w:t>Nedojde-li mezi oběma stranami k dohodě při odsouhlasení množství nebo druhu provedených pr</w:t>
      </w:r>
      <w:r w:rsidR="003338A2" w:rsidRPr="00C0481E">
        <w:rPr>
          <w:sz w:val="22"/>
          <w:szCs w:val="22"/>
        </w:rPr>
        <w:t>ací, je p</w:t>
      </w:r>
      <w:r w:rsidRPr="00C0481E">
        <w:rPr>
          <w:sz w:val="22"/>
          <w:szCs w:val="22"/>
        </w:rPr>
        <w:t xml:space="preserve">říkazce oprávněn fakturovat pouze práce, u kterých nedošlo k rozporu. Pokud bude faktura </w:t>
      </w:r>
      <w:r w:rsidR="003338A2" w:rsidRPr="00C0481E">
        <w:rPr>
          <w:sz w:val="22"/>
          <w:szCs w:val="22"/>
        </w:rPr>
        <w:t>p</w:t>
      </w:r>
      <w:r w:rsidRPr="00C0481E">
        <w:rPr>
          <w:sz w:val="22"/>
          <w:szCs w:val="22"/>
        </w:rPr>
        <w:t xml:space="preserve">říkazníka obsahovat i práce, které nebyly </w:t>
      </w:r>
      <w:r w:rsidR="003338A2" w:rsidRPr="00C0481E">
        <w:rPr>
          <w:sz w:val="22"/>
          <w:szCs w:val="22"/>
        </w:rPr>
        <w:t>p</w:t>
      </w:r>
      <w:r w:rsidRPr="00C0481E">
        <w:rPr>
          <w:sz w:val="22"/>
          <w:szCs w:val="22"/>
        </w:rPr>
        <w:t xml:space="preserve">říkazcem odsouhlaseny, je </w:t>
      </w:r>
      <w:r w:rsidR="003338A2" w:rsidRPr="00C0481E">
        <w:rPr>
          <w:sz w:val="22"/>
          <w:szCs w:val="22"/>
        </w:rPr>
        <w:t>p</w:t>
      </w:r>
      <w:r w:rsidRPr="00C0481E">
        <w:rPr>
          <w:sz w:val="22"/>
          <w:szCs w:val="22"/>
        </w:rPr>
        <w:t xml:space="preserve">říkazce oprávněn uhradit pouze tu část faktury, se kterou souhlasí. Na zbývající část faktury nemůže </w:t>
      </w:r>
      <w:r w:rsidR="003338A2" w:rsidRPr="00C0481E">
        <w:rPr>
          <w:sz w:val="22"/>
          <w:szCs w:val="22"/>
        </w:rPr>
        <w:t>p</w:t>
      </w:r>
      <w:r w:rsidRPr="00C0481E">
        <w:rPr>
          <w:sz w:val="22"/>
          <w:szCs w:val="22"/>
        </w:rPr>
        <w:t xml:space="preserve">říkazník uplatňovat žádné majetkové sankce vyplývající z peněžitého dluhu </w:t>
      </w:r>
      <w:r w:rsidR="003338A2" w:rsidRPr="00C0481E">
        <w:rPr>
          <w:sz w:val="22"/>
          <w:szCs w:val="22"/>
        </w:rPr>
        <w:t>p</w:t>
      </w:r>
      <w:r w:rsidRPr="00C0481E">
        <w:rPr>
          <w:sz w:val="22"/>
          <w:szCs w:val="22"/>
        </w:rPr>
        <w:t xml:space="preserve">říkazce. </w:t>
      </w:r>
    </w:p>
    <w:p w14:paraId="5E603681" w14:textId="77777777" w:rsidR="00306A02" w:rsidRPr="00C0481E" w:rsidRDefault="00306A02" w:rsidP="00306A02">
      <w:pPr>
        <w:pStyle w:val="Nadpis3"/>
        <w:numPr>
          <w:ilvl w:val="1"/>
          <w:numId w:val="13"/>
        </w:numPr>
        <w:rPr>
          <w:sz w:val="22"/>
          <w:szCs w:val="22"/>
        </w:rPr>
      </w:pPr>
      <w:r w:rsidRPr="00C0481E">
        <w:rPr>
          <w:sz w:val="22"/>
          <w:szCs w:val="22"/>
        </w:rPr>
        <w:t xml:space="preserve">Faktura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nebo bude obsahovat nesrovnalosti, je </w:t>
      </w:r>
      <w:r w:rsidR="003338A2" w:rsidRPr="00C0481E">
        <w:rPr>
          <w:sz w:val="22"/>
          <w:szCs w:val="22"/>
        </w:rPr>
        <w:t>p</w:t>
      </w:r>
      <w:r w:rsidRPr="00C0481E">
        <w:rPr>
          <w:sz w:val="22"/>
          <w:szCs w:val="22"/>
        </w:rPr>
        <w:t xml:space="preserve">říkazce oprávněn daňový doklad vrátit ve lhůtě do data jeho splatnosti </w:t>
      </w:r>
      <w:r w:rsidR="003338A2" w:rsidRPr="00C0481E">
        <w:rPr>
          <w:sz w:val="22"/>
          <w:szCs w:val="22"/>
        </w:rPr>
        <w:t>p</w:t>
      </w:r>
      <w:r w:rsidRPr="00C0481E">
        <w:rPr>
          <w:sz w:val="22"/>
          <w:szCs w:val="22"/>
        </w:rPr>
        <w:t xml:space="preserve">říkazníkovi. Příkazník je povinen takový daňový doklad opravit, event. vystavit nový daňový doklad. Lhůta splatnosti počíná v takovém případě běžet ode dne doručení opraveného či nově vystaveného daňového dokladu </w:t>
      </w:r>
      <w:r w:rsidR="003338A2" w:rsidRPr="00C0481E">
        <w:rPr>
          <w:sz w:val="22"/>
          <w:szCs w:val="22"/>
        </w:rPr>
        <w:t>p</w:t>
      </w:r>
      <w:r w:rsidRPr="00C0481E">
        <w:rPr>
          <w:sz w:val="22"/>
          <w:szCs w:val="22"/>
        </w:rPr>
        <w:t xml:space="preserve">říkazci. </w:t>
      </w:r>
    </w:p>
    <w:p w14:paraId="2C17EA73" w14:textId="77777777" w:rsidR="00306A02" w:rsidRPr="00C0481E" w:rsidRDefault="00306A02" w:rsidP="00306A02">
      <w:pPr>
        <w:pStyle w:val="Nadpis3"/>
        <w:numPr>
          <w:ilvl w:val="1"/>
          <w:numId w:val="13"/>
        </w:numPr>
        <w:rPr>
          <w:sz w:val="22"/>
          <w:szCs w:val="22"/>
        </w:rPr>
      </w:pPr>
      <w:r w:rsidRPr="00C0481E">
        <w:rPr>
          <w:sz w:val="22"/>
          <w:szCs w:val="22"/>
        </w:rPr>
        <w:t xml:space="preserve">Daňový doklad se v souladu s § 1957 odst. 1 občanského zákoníku považuje za řádně a včas zaplacený, bude-li poslední den této lhůty účtovaná částka ve výši odsouhlasené </w:t>
      </w:r>
      <w:r w:rsidR="003338A2" w:rsidRPr="00C0481E">
        <w:rPr>
          <w:sz w:val="22"/>
          <w:szCs w:val="22"/>
        </w:rPr>
        <w:t>p</w:t>
      </w:r>
      <w:r w:rsidRPr="00C0481E">
        <w:rPr>
          <w:sz w:val="22"/>
          <w:szCs w:val="22"/>
        </w:rPr>
        <w:t xml:space="preserve">říkazcem připsána ve prospěch účtu banky </w:t>
      </w:r>
      <w:r w:rsidR="003338A2" w:rsidRPr="00C0481E">
        <w:rPr>
          <w:sz w:val="22"/>
          <w:szCs w:val="22"/>
        </w:rPr>
        <w:t>p</w:t>
      </w:r>
      <w:r w:rsidRPr="00C0481E">
        <w:rPr>
          <w:sz w:val="22"/>
          <w:szCs w:val="22"/>
        </w:rPr>
        <w:t>říkazníka uvedeného v záhlaví Smlouvy.</w:t>
      </w:r>
    </w:p>
    <w:p w14:paraId="2C8A13B9" w14:textId="77777777" w:rsidR="00306A02" w:rsidRPr="00C0481E" w:rsidRDefault="00306A02" w:rsidP="00306A02">
      <w:pPr>
        <w:pStyle w:val="Nadpis3"/>
        <w:numPr>
          <w:ilvl w:val="1"/>
          <w:numId w:val="13"/>
        </w:numPr>
        <w:rPr>
          <w:sz w:val="22"/>
          <w:szCs w:val="22"/>
        </w:rPr>
      </w:pPr>
      <w:r w:rsidRPr="00C0481E">
        <w:rPr>
          <w:sz w:val="22"/>
          <w:szCs w:val="22"/>
        </w:rPr>
        <w:t xml:space="preserve">Výši odměny lze měnit pouze za následujících podmínek:   </w:t>
      </w:r>
    </w:p>
    <w:p w14:paraId="482360CC" w14:textId="77777777" w:rsidR="00306A02" w:rsidRPr="00C0481E" w:rsidRDefault="003E0D46" w:rsidP="00306A02">
      <w:pPr>
        <w:pStyle w:val="Nadpis3"/>
        <w:numPr>
          <w:ilvl w:val="2"/>
          <w:numId w:val="13"/>
        </w:numPr>
        <w:rPr>
          <w:sz w:val="22"/>
          <w:szCs w:val="22"/>
        </w:rPr>
      </w:pPr>
      <w:r w:rsidRPr="00C0481E">
        <w:rPr>
          <w:sz w:val="22"/>
          <w:szCs w:val="22"/>
        </w:rPr>
        <w:t>p</w:t>
      </w:r>
      <w:r w:rsidR="00306A02" w:rsidRPr="00C0481E">
        <w:rPr>
          <w:sz w:val="22"/>
          <w:szCs w:val="22"/>
        </w:rPr>
        <w:t>říkazce požaduje práce, které nejsou předmětem Smlouvy;</w:t>
      </w:r>
    </w:p>
    <w:p w14:paraId="10453B9E" w14:textId="77777777" w:rsidR="00306A02" w:rsidRPr="00C0481E" w:rsidRDefault="003E0D46" w:rsidP="00306A02">
      <w:pPr>
        <w:pStyle w:val="Nadpis3"/>
        <w:numPr>
          <w:ilvl w:val="2"/>
          <w:numId w:val="13"/>
        </w:numPr>
        <w:rPr>
          <w:sz w:val="22"/>
          <w:szCs w:val="22"/>
        </w:rPr>
      </w:pPr>
      <w:r w:rsidRPr="00C0481E">
        <w:rPr>
          <w:sz w:val="22"/>
          <w:szCs w:val="22"/>
        </w:rPr>
        <w:t>p</w:t>
      </w:r>
      <w:r w:rsidR="00306A02" w:rsidRPr="00C0481E">
        <w:rPr>
          <w:sz w:val="22"/>
          <w:szCs w:val="22"/>
        </w:rPr>
        <w:t>říkazce požaduje vypustit některé práce předmětu Smlouvy;</w:t>
      </w:r>
    </w:p>
    <w:p w14:paraId="4B0CD724" w14:textId="77777777" w:rsidR="00306A02" w:rsidRPr="00C0481E" w:rsidRDefault="00306A02" w:rsidP="00306A02">
      <w:pPr>
        <w:pStyle w:val="Nadpis3"/>
        <w:numPr>
          <w:ilvl w:val="2"/>
          <w:numId w:val="13"/>
        </w:numPr>
        <w:rPr>
          <w:sz w:val="22"/>
          <w:szCs w:val="22"/>
        </w:rPr>
      </w:pPr>
      <w:r w:rsidRPr="00C0481E">
        <w:rPr>
          <w:sz w:val="22"/>
          <w:szCs w:val="22"/>
        </w:rPr>
        <w:t xml:space="preserve">při </w:t>
      </w:r>
      <w:r w:rsidR="003E0D46" w:rsidRPr="00C0481E">
        <w:rPr>
          <w:sz w:val="22"/>
          <w:szCs w:val="22"/>
        </w:rPr>
        <w:t>provádění předmětu S</w:t>
      </w:r>
      <w:r w:rsidRPr="00C0481E">
        <w:rPr>
          <w:sz w:val="22"/>
          <w:szCs w:val="22"/>
        </w:rPr>
        <w:t>mlouvy se zjistí skutečnost</w:t>
      </w:r>
      <w:r w:rsidR="003E0D46" w:rsidRPr="00C0481E">
        <w:rPr>
          <w:sz w:val="22"/>
          <w:szCs w:val="22"/>
        </w:rPr>
        <w:t>i, které nebyly v době podpisu S</w:t>
      </w:r>
      <w:r w:rsidRPr="00C0481E">
        <w:rPr>
          <w:sz w:val="22"/>
          <w:szCs w:val="22"/>
        </w:rPr>
        <w:t>mlouvy známé, a dodavatel je nezavinil ani nemohl předvídat a mají vliv na odměnu;</w:t>
      </w:r>
    </w:p>
    <w:p w14:paraId="46A66981" w14:textId="77777777" w:rsidR="00306A02" w:rsidRDefault="00306A02" w:rsidP="00306A02">
      <w:pPr>
        <w:pStyle w:val="Nadpis3"/>
        <w:numPr>
          <w:ilvl w:val="2"/>
          <w:numId w:val="13"/>
        </w:numPr>
        <w:rPr>
          <w:sz w:val="22"/>
          <w:szCs w:val="22"/>
        </w:rPr>
      </w:pPr>
      <w:r w:rsidRPr="00C0481E">
        <w:rPr>
          <w:sz w:val="22"/>
          <w:szCs w:val="22"/>
        </w:rPr>
        <w:t xml:space="preserve">při provádění </w:t>
      </w:r>
      <w:r w:rsidR="003E0D46" w:rsidRPr="00C0481E">
        <w:rPr>
          <w:sz w:val="22"/>
          <w:szCs w:val="22"/>
        </w:rPr>
        <w:t>předmětu S</w:t>
      </w:r>
      <w:r w:rsidRPr="00C0481E">
        <w:rPr>
          <w:sz w:val="22"/>
          <w:szCs w:val="22"/>
        </w:rPr>
        <w:t xml:space="preserve">mlouvy se zjistí skutečnosti odlišné od zadávací dokumentace. </w:t>
      </w:r>
    </w:p>
    <w:p w14:paraId="2E8D5C67" w14:textId="77777777" w:rsidR="0039195C" w:rsidRDefault="0039195C" w:rsidP="0039195C">
      <w:pPr>
        <w:rPr>
          <w:lang w:eastAsia="en-US"/>
        </w:rPr>
      </w:pPr>
    </w:p>
    <w:p w14:paraId="001EB111" w14:textId="77777777" w:rsidR="0039195C" w:rsidRDefault="0039195C" w:rsidP="0039195C">
      <w:pPr>
        <w:rPr>
          <w:lang w:eastAsia="en-US"/>
        </w:rPr>
      </w:pPr>
    </w:p>
    <w:p w14:paraId="347B7DE4" w14:textId="77777777" w:rsidR="0039195C" w:rsidRPr="0039195C" w:rsidRDefault="0039195C" w:rsidP="0039195C">
      <w:pPr>
        <w:rPr>
          <w:lang w:eastAsia="en-US"/>
        </w:rPr>
      </w:pPr>
      <w:bookmarkStart w:id="1" w:name="_GoBack"/>
      <w:bookmarkEnd w:id="1"/>
    </w:p>
    <w:p w14:paraId="792A4324" w14:textId="77777777" w:rsidR="003338A2" w:rsidRPr="00C0481E" w:rsidRDefault="003338A2" w:rsidP="003338A2">
      <w:pPr>
        <w:pStyle w:val="Nadpis2"/>
        <w:pBdr>
          <w:bottom w:val="single" w:sz="12" w:space="1" w:color="2E74B5" w:themeColor="accent1" w:themeShade="BF"/>
        </w:pBdr>
        <w:jc w:val="center"/>
        <w:rPr>
          <w:b/>
          <w:sz w:val="22"/>
          <w:szCs w:val="22"/>
        </w:rPr>
      </w:pPr>
      <w:r w:rsidRPr="00C0481E">
        <w:rPr>
          <w:b/>
          <w:sz w:val="22"/>
          <w:szCs w:val="22"/>
        </w:rPr>
        <w:lastRenderedPageBreak/>
        <w:t>Součinnost smluvních stran</w:t>
      </w:r>
    </w:p>
    <w:p w14:paraId="655EAEA4" w14:textId="77777777" w:rsidR="003338A2" w:rsidRPr="00C0481E" w:rsidRDefault="003338A2" w:rsidP="003338A2">
      <w:pPr>
        <w:pStyle w:val="Nadpis3"/>
        <w:numPr>
          <w:ilvl w:val="1"/>
          <w:numId w:val="19"/>
        </w:numPr>
        <w:rPr>
          <w:sz w:val="22"/>
          <w:szCs w:val="22"/>
        </w:rPr>
      </w:pPr>
      <w:r w:rsidRPr="00C0481E">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7C5EBF70" w14:textId="77777777" w:rsidR="003338A2" w:rsidRPr="00C0481E" w:rsidRDefault="003338A2" w:rsidP="003338A2">
      <w:pPr>
        <w:pStyle w:val="Nadpis3"/>
        <w:numPr>
          <w:ilvl w:val="1"/>
          <w:numId w:val="19"/>
        </w:numPr>
        <w:rPr>
          <w:sz w:val="22"/>
          <w:szCs w:val="22"/>
        </w:rPr>
      </w:pPr>
      <w:r w:rsidRPr="00C0481E">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9E3212C" w14:textId="77777777" w:rsidR="003338A2" w:rsidRPr="00C0481E" w:rsidRDefault="003338A2" w:rsidP="003338A2">
      <w:pPr>
        <w:pStyle w:val="Nadpis3"/>
        <w:numPr>
          <w:ilvl w:val="1"/>
          <w:numId w:val="19"/>
        </w:numPr>
        <w:rPr>
          <w:sz w:val="22"/>
          <w:szCs w:val="22"/>
        </w:rPr>
      </w:pPr>
      <w:r w:rsidRPr="00C0481E">
        <w:rPr>
          <w:sz w:val="22"/>
          <w:szCs w:val="22"/>
        </w:rPr>
        <w:t>Příkazník se zavazuje, že na základě skutečností zjištěných v průběhu plnění povinností dle Smlouvy navrhne a provede opatření směřující k dodržení podmínek stanovených Smlouvou pro naplnění Smlouvy, k ochraně Příkazce před škodami, ztrátami a zbytečnými výdaji a že poskytne Příkazci, zástupci Příkazce jednajícímu ve věcech technických a jiným osobám zúčastněným na provádění díla, veškeré potřebné doklady, konzultace, pomoc a jinou součinnost.</w:t>
      </w:r>
    </w:p>
    <w:p w14:paraId="797C8DFE" w14:textId="77777777" w:rsidR="003338A2" w:rsidRPr="00C0481E" w:rsidRDefault="003338A2" w:rsidP="003338A2">
      <w:pPr>
        <w:pStyle w:val="Nadpis3"/>
        <w:numPr>
          <w:ilvl w:val="1"/>
          <w:numId w:val="19"/>
        </w:numPr>
        <w:rPr>
          <w:sz w:val="22"/>
          <w:szCs w:val="22"/>
        </w:rPr>
      </w:pPr>
      <w:r w:rsidRPr="00C0481E">
        <w:rPr>
          <w:sz w:val="22"/>
          <w:szCs w:val="22"/>
        </w:rPr>
        <w:t>Příkazce se zavazuje předat Příkazníkovi veškeré informace a podklady, které během zpracování díla získá a které by mohly ovlivnit provádění díla. Tyto informace a podklady předá Příkazník Příkazci neprodleně po jejich získání.</w:t>
      </w:r>
    </w:p>
    <w:p w14:paraId="3A603086" w14:textId="77777777" w:rsidR="003338A2" w:rsidRPr="00C0481E" w:rsidRDefault="003338A2" w:rsidP="003338A2">
      <w:pPr>
        <w:pStyle w:val="Nadpis3"/>
        <w:numPr>
          <w:ilvl w:val="1"/>
          <w:numId w:val="19"/>
        </w:numPr>
        <w:rPr>
          <w:sz w:val="22"/>
          <w:szCs w:val="22"/>
        </w:rPr>
      </w:pPr>
      <w:r w:rsidRPr="00C0481E">
        <w:rPr>
          <w:sz w:val="22"/>
          <w:szCs w:val="22"/>
        </w:rPr>
        <w:t xml:space="preserve">Příkazce se zavazuje zajistit včasné a řádné financování díla dle Smlouvy. </w:t>
      </w:r>
    </w:p>
    <w:p w14:paraId="17326A36" w14:textId="77777777" w:rsidR="003338A2" w:rsidRPr="00C0481E" w:rsidRDefault="003338A2" w:rsidP="003338A2">
      <w:pPr>
        <w:pStyle w:val="Nadpis2"/>
        <w:pBdr>
          <w:bottom w:val="single" w:sz="12" w:space="1" w:color="2E74B5" w:themeColor="accent1" w:themeShade="BF"/>
        </w:pBdr>
        <w:jc w:val="center"/>
        <w:rPr>
          <w:b/>
          <w:sz w:val="22"/>
          <w:szCs w:val="22"/>
        </w:rPr>
      </w:pPr>
      <w:r w:rsidRPr="00C0481E">
        <w:rPr>
          <w:b/>
          <w:sz w:val="22"/>
          <w:szCs w:val="22"/>
        </w:rPr>
        <w:t>Práva a povinnosti smluvních stran</w:t>
      </w:r>
    </w:p>
    <w:p w14:paraId="042151D1" w14:textId="77777777" w:rsidR="00611B39" w:rsidRPr="00C0481E" w:rsidRDefault="003338A2" w:rsidP="00611B39">
      <w:pPr>
        <w:pStyle w:val="Nadpis3"/>
        <w:numPr>
          <w:ilvl w:val="1"/>
          <w:numId w:val="22"/>
        </w:numPr>
        <w:rPr>
          <w:sz w:val="22"/>
          <w:szCs w:val="22"/>
        </w:rPr>
      </w:pPr>
      <w:r w:rsidRPr="00C0481E">
        <w:rPr>
          <w:rFonts w:cs="Arial"/>
          <w:sz w:val="22"/>
          <w:szCs w:val="22"/>
        </w:rPr>
        <w:t xml:space="preserve">Příkazce poskytne příkazníkovi včas informace, jež jsou nutné při obstarávání činností, k nimž se příkazník zavázal, nejde-li však o informace a podklady, které </w:t>
      </w:r>
      <w:r w:rsidR="003E0D46" w:rsidRPr="00C0481E">
        <w:rPr>
          <w:rFonts w:cs="Arial"/>
          <w:sz w:val="22"/>
          <w:szCs w:val="22"/>
        </w:rPr>
        <w:t xml:space="preserve">si s ohledem na povahu </w:t>
      </w:r>
      <w:r w:rsidRPr="00C0481E">
        <w:rPr>
          <w:rFonts w:cs="Arial"/>
          <w:sz w:val="22"/>
          <w:szCs w:val="22"/>
        </w:rPr>
        <w:t>obstarat příkazník sám.</w:t>
      </w:r>
    </w:p>
    <w:p w14:paraId="0D4C7B3F" w14:textId="77777777" w:rsidR="00611B39" w:rsidRPr="00C0481E" w:rsidRDefault="003338A2" w:rsidP="00611B39">
      <w:pPr>
        <w:pStyle w:val="Nadpis3"/>
        <w:numPr>
          <w:ilvl w:val="1"/>
          <w:numId w:val="22"/>
        </w:numPr>
        <w:rPr>
          <w:sz w:val="22"/>
          <w:szCs w:val="22"/>
        </w:rPr>
      </w:pPr>
      <w:r w:rsidRPr="00C0481E">
        <w:rPr>
          <w:rFonts w:cs="Arial"/>
          <w:sz w:val="22"/>
          <w:szCs w:val="22"/>
        </w:rPr>
        <w:t xml:space="preserve">Příkazce je povinen v průběhu plnění </w:t>
      </w:r>
      <w:r w:rsidR="003E0D46" w:rsidRPr="00C0481E">
        <w:rPr>
          <w:rFonts w:cs="Arial"/>
          <w:sz w:val="22"/>
          <w:szCs w:val="22"/>
        </w:rPr>
        <w:t>S</w:t>
      </w:r>
      <w:r w:rsidRPr="00C0481E">
        <w:rPr>
          <w:rFonts w:cs="Arial"/>
          <w:sz w:val="22"/>
          <w:szCs w:val="22"/>
        </w:rPr>
        <w:t xml:space="preserve">mlouvy poskytnout příkazníkovi na jeho vyžádání součinnost při řešení vzniklých problémů, zejména při posuzování podkladů, doplňujících údajů, upřesnění, vyjádření a stanovisek, při upřesňování požadavků </w:t>
      </w:r>
      <w:r w:rsidRPr="00C0481E">
        <w:rPr>
          <w:rFonts w:cs="Arial"/>
          <w:sz w:val="22"/>
          <w:szCs w:val="22"/>
        </w:rPr>
        <w:br/>
        <w:t>na případné doplňky či změny projektu apod., nebude-li bez této součinnosti možné (nebo jen s obtížemi) zařídit záležitosti vyplývající z</w:t>
      </w:r>
      <w:r w:rsidR="003E0D46" w:rsidRPr="00C0481E">
        <w:rPr>
          <w:rFonts w:cs="Arial"/>
          <w:sz w:val="22"/>
          <w:szCs w:val="22"/>
        </w:rPr>
        <w:t>e S</w:t>
      </w:r>
      <w:r w:rsidRPr="00C0481E">
        <w:rPr>
          <w:rFonts w:cs="Arial"/>
          <w:sz w:val="22"/>
          <w:szCs w:val="22"/>
        </w:rPr>
        <w:t>mlouvy. Zároveň zajistí příkazce svou účast na jednáních, ke kterým bude příkazníkem vyzván a kde bude jeho účast nezbytná. Vyžádanou součinnost poskytne příkazníkovi nejpozději do 5 dnů od vyžádání. Delší lhůtu sjednají strany v případě, že se bude jednat o součinnost, kterou nemůže příkazce zajistit vlastními silami.</w:t>
      </w:r>
    </w:p>
    <w:p w14:paraId="4A20DBD4" w14:textId="77777777" w:rsidR="00611B39" w:rsidRPr="00C0481E" w:rsidRDefault="003338A2" w:rsidP="00611B39">
      <w:pPr>
        <w:pStyle w:val="Nadpis3"/>
        <w:numPr>
          <w:ilvl w:val="1"/>
          <w:numId w:val="22"/>
        </w:numPr>
        <w:rPr>
          <w:sz w:val="22"/>
          <w:szCs w:val="22"/>
        </w:rPr>
      </w:pPr>
      <w:r w:rsidRPr="00C0481E">
        <w:rPr>
          <w:rFonts w:cs="Arial"/>
          <w:sz w:val="22"/>
          <w:szCs w:val="22"/>
        </w:rPr>
        <w:t>Příkazce je povinen přizvat příkazníka ke všem rozhodujícím jednáním resp. předat mu neprodleně zápis nebo informace o jednáních, kterých se příkazník nezúčastnil.</w:t>
      </w:r>
    </w:p>
    <w:p w14:paraId="699E39D7" w14:textId="77777777" w:rsidR="00611B39" w:rsidRPr="00C0481E" w:rsidRDefault="003338A2" w:rsidP="00611B39">
      <w:pPr>
        <w:pStyle w:val="Nadpis3"/>
        <w:numPr>
          <w:ilvl w:val="1"/>
          <w:numId w:val="22"/>
        </w:numPr>
        <w:rPr>
          <w:sz w:val="22"/>
          <w:szCs w:val="22"/>
        </w:rPr>
      </w:pPr>
      <w:r w:rsidRPr="00C0481E">
        <w:rPr>
          <w:rFonts w:cs="Arial"/>
          <w:sz w:val="22"/>
          <w:szCs w:val="22"/>
        </w:rPr>
        <w:t>Příkazce je povinen přizvat příkazníka k účasti na všech kontrolních dnech svolávaných příkazcem, popř. technickým dozorem.</w:t>
      </w:r>
    </w:p>
    <w:p w14:paraId="761DE789" w14:textId="77777777" w:rsidR="00611B39" w:rsidRPr="00C0481E" w:rsidRDefault="003338A2" w:rsidP="00611B39">
      <w:pPr>
        <w:pStyle w:val="Nadpis3"/>
        <w:numPr>
          <w:ilvl w:val="1"/>
          <w:numId w:val="22"/>
        </w:numPr>
        <w:rPr>
          <w:sz w:val="22"/>
          <w:szCs w:val="22"/>
        </w:rPr>
      </w:pPr>
      <w:r w:rsidRPr="00C0481E">
        <w:rPr>
          <w:rFonts w:cs="Arial"/>
          <w:sz w:val="22"/>
          <w:szCs w:val="22"/>
        </w:rPr>
        <w:t>Příkazce je povinen přizvat příkazníka k účasti na předání staveniště zhotovitelům stavby.</w:t>
      </w:r>
    </w:p>
    <w:p w14:paraId="74486B54" w14:textId="77777777" w:rsidR="00611B39" w:rsidRPr="00C0481E" w:rsidRDefault="003338A2" w:rsidP="00611B39">
      <w:pPr>
        <w:pStyle w:val="Nadpis3"/>
        <w:numPr>
          <w:ilvl w:val="1"/>
          <w:numId w:val="22"/>
        </w:numPr>
        <w:rPr>
          <w:sz w:val="22"/>
          <w:szCs w:val="22"/>
        </w:rPr>
      </w:pPr>
      <w:r w:rsidRPr="00C0481E">
        <w:rPr>
          <w:rFonts w:cs="Arial"/>
          <w:sz w:val="22"/>
          <w:szCs w:val="22"/>
        </w:rPr>
        <w:lastRenderedPageBreak/>
        <w:t xml:space="preserve">Příkazce se zúčastní předání staveniště zhotoviteli stavby, přejímacího řízení stavby </w:t>
      </w:r>
      <w:r w:rsidRPr="00C0481E">
        <w:rPr>
          <w:rFonts w:cs="Arial"/>
          <w:sz w:val="22"/>
          <w:szCs w:val="22"/>
        </w:rPr>
        <w:br/>
        <w:t xml:space="preserve">od zhotovitele a závěrečné kontrolní prohlídky stavby konané stavebním úřadem </w:t>
      </w:r>
      <w:r w:rsidRPr="00C0481E">
        <w:rPr>
          <w:rFonts w:cs="Arial"/>
          <w:sz w:val="22"/>
          <w:szCs w:val="22"/>
        </w:rPr>
        <w:br/>
        <w:t>ve smyslu stavebního zákona s právem rozhodovacím.</w:t>
      </w:r>
    </w:p>
    <w:p w14:paraId="194A5966" w14:textId="77777777" w:rsidR="00611B39" w:rsidRPr="00C0481E" w:rsidRDefault="003338A2" w:rsidP="003E0D46">
      <w:pPr>
        <w:pStyle w:val="Nadpis3"/>
        <w:numPr>
          <w:ilvl w:val="1"/>
          <w:numId w:val="22"/>
        </w:numPr>
        <w:rPr>
          <w:sz w:val="22"/>
          <w:szCs w:val="22"/>
        </w:rPr>
      </w:pPr>
      <w:r w:rsidRPr="00C0481E">
        <w:rPr>
          <w:rFonts w:cs="Arial"/>
          <w:sz w:val="22"/>
          <w:szCs w:val="22"/>
        </w:rPr>
        <w:t xml:space="preserve">Příkazce se zavazuje, že v rozsahu nevyhnutelně potřebném poskytne Příkazníkovi pomoc při zajištění podkladů, doplňujících údajů, upřesnění vyjádření a stanovisek, jejichž potřeba vznikne v průběhu plnění </w:t>
      </w:r>
      <w:r w:rsidR="003E0D46" w:rsidRPr="00C0481E">
        <w:rPr>
          <w:rFonts w:cs="Arial"/>
          <w:sz w:val="22"/>
          <w:szCs w:val="22"/>
        </w:rPr>
        <w:t>S</w:t>
      </w:r>
      <w:r w:rsidRPr="00C0481E">
        <w:rPr>
          <w:rFonts w:cs="Arial"/>
          <w:sz w:val="22"/>
          <w:szCs w:val="22"/>
        </w:rPr>
        <w:t xml:space="preserve">mlouvy. Tuto pomoc poskytne Příkazníkovi </w:t>
      </w:r>
      <w:r w:rsidRPr="00C0481E">
        <w:rPr>
          <w:rFonts w:cs="Arial"/>
          <w:sz w:val="22"/>
          <w:szCs w:val="22"/>
        </w:rPr>
        <w:br/>
        <w:t>ve lhůtě a rozsahu dojednaném oběma stranami.</w:t>
      </w:r>
    </w:p>
    <w:p w14:paraId="5454567A" w14:textId="77777777" w:rsidR="00611B39" w:rsidRPr="00C0481E" w:rsidRDefault="003338A2" w:rsidP="00611B39">
      <w:pPr>
        <w:pStyle w:val="Nadpis3"/>
        <w:numPr>
          <w:ilvl w:val="1"/>
          <w:numId w:val="22"/>
        </w:numPr>
        <w:rPr>
          <w:sz w:val="22"/>
          <w:szCs w:val="22"/>
        </w:rPr>
      </w:pPr>
      <w:r w:rsidRPr="00C0481E">
        <w:rPr>
          <w:rFonts w:cs="Arial"/>
          <w:sz w:val="22"/>
          <w:szCs w:val="22"/>
        </w:rPr>
        <w:t xml:space="preserve">Příkazce je </w:t>
      </w:r>
      <w:r w:rsidR="003E0D46" w:rsidRPr="00C0481E">
        <w:rPr>
          <w:rFonts w:cs="Arial"/>
          <w:sz w:val="22"/>
          <w:szCs w:val="22"/>
        </w:rPr>
        <w:t>oprávněn kontrolovat provádění S</w:t>
      </w:r>
      <w:r w:rsidRPr="00C0481E">
        <w:rPr>
          <w:rFonts w:cs="Arial"/>
          <w:sz w:val="22"/>
          <w:szCs w:val="22"/>
        </w:rPr>
        <w:t xml:space="preserve">mlouvy ve všech fázích plnění. </w:t>
      </w:r>
    </w:p>
    <w:p w14:paraId="4286578B" w14:textId="77777777" w:rsidR="003338A2" w:rsidRPr="00C0481E" w:rsidRDefault="003338A2" w:rsidP="00611B39">
      <w:pPr>
        <w:pStyle w:val="Nadpis3"/>
        <w:numPr>
          <w:ilvl w:val="1"/>
          <w:numId w:val="22"/>
        </w:numPr>
        <w:rPr>
          <w:sz w:val="22"/>
          <w:szCs w:val="22"/>
        </w:rPr>
      </w:pPr>
      <w:r w:rsidRPr="00C0481E">
        <w:rPr>
          <w:rFonts w:cs="Arial"/>
          <w:sz w:val="22"/>
          <w:szCs w:val="22"/>
        </w:rPr>
        <w:t>Příkazník je povinen:</w:t>
      </w:r>
    </w:p>
    <w:p w14:paraId="36D94571" w14:textId="77777777" w:rsidR="003338A2" w:rsidRPr="00C0481E" w:rsidRDefault="003338A2" w:rsidP="003338A2">
      <w:pPr>
        <w:pStyle w:val="Zkladntext"/>
        <w:numPr>
          <w:ilvl w:val="0"/>
          <w:numId w:val="17"/>
        </w:numPr>
        <w:suppressAutoHyphens/>
        <w:spacing w:after="60" w:line="240" w:lineRule="auto"/>
        <w:jc w:val="both"/>
        <w:rPr>
          <w:rFonts w:ascii="Cambria" w:hAnsi="Cambria" w:cs="Arial"/>
        </w:rPr>
      </w:pPr>
      <w:r w:rsidRPr="00C0481E">
        <w:rPr>
          <w:rFonts w:ascii="Cambria" w:hAnsi="Cambria" w:cs="Arial"/>
        </w:rPr>
        <w:t>Předkládat příkazci k odsouhlasení rozhodující písemnosti a informace.</w:t>
      </w:r>
    </w:p>
    <w:p w14:paraId="4849C0A4" w14:textId="77777777" w:rsidR="003338A2" w:rsidRPr="00C0481E" w:rsidRDefault="003338A2" w:rsidP="003338A2">
      <w:pPr>
        <w:pStyle w:val="Zkladntext"/>
        <w:numPr>
          <w:ilvl w:val="0"/>
          <w:numId w:val="17"/>
        </w:numPr>
        <w:suppressAutoHyphens/>
        <w:spacing w:after="60" w:line="240" w:lineRule="auto"/>
        <w:jc w:val="both"/>
        <w:rPr>
          <w:rFonts w:ascii="Cambria" w:hAnsi="Cambria" w:cs="Arial"/>
        </w:rPr>
      </w:pPr>
      <w:r w:rsidRPr="00C0481E">
        <w:rPr>
          <w:rFonts w:ascii="Cambria" w:hAnsi="Cambria" w:cs="Arial"/>
        </w:rPr>
        <w:t>Bez zbytečného odkladu, nejpozději však do 3 pracovních dnů, vydat příkazci jakékoliv věci a informace získané pro něho při své činnosti.</w:t>
      </w:r>
    </w:p>
    <w:p w14:paraId="50701D15" w14:textId="77777777" w:rsidR="003338A2" w:rsidRPr="00C0481E" w:rsidRDefault="003338A2" w:rsidP="003338A2">
      <w:pPr>
        <w:pStyle w:val="Zkladntext"/>
        <w:numPr>
          <w:ilvl w:val="0"/>
          <w:numId w:val="17"/>
        </w:numPr>
        <w:suppressAutoHyphens/>
        <w:spacing w:after="60" w:line="240" w:lineRule="auto"/>
        <w:jc w:val="both"/>
        <w:rPr>
          <w:rFonts w:ascii="Cambria" w:hAnsi="Cambria" w:cs="Arial"/>
        </w:rPr>
      </w:pPr>
      <w:r w:rsidRPr="00C0481E">
        <w:rPr>
          <w:rFonts w:ascii="Cambria" w:hAnsi="Cambria" w:cs="Arial"/>
        </w:rPr>
        <w:t>Řídit se pokyny příkazce, postupovat v úzké součinnosti s příkazcem a jednat v jeho zájmu.</w:t>
      </w:r>
    </w:p>
    <w:p w14:paraId="78188FBC" w14:textId="77777777" w:rsidR="003338A2" w:rsidRPr="00C0481E" w:rsidRDefault="003338A2" w:rsidP="003338A2">
      <w:pPr>
        <w:pStyle w:val="Zkladntext"/>
        <w:numPr>
          <w:ilvl w:val="0"/>
          <w:numId w:val="17"/>
        </w:numPr>
        <w:suppressAutoHyphens/>
        <w:spacing w:after="60" w:line="240" w:lineRule="auto"/>
        <w:jc w:val="both"/>
        <w:rPr>
          <w:rFonts w:ascii="Cambria" w:hAnsi="Cambria" w:cs="Arial"/>
        </w:rPr>
      </w:pPr>
      <w:r w:rsidRPr="00C0481E">
        <w:rPr>
          <w:rFonts w:ascii="Cambria" w:hAnsi="Cambria" w:cs="Arial"/>
        </w:rPr>
        <w:t>Bez zbytečného odkladu, nejpozději však do 3 pracovních dnů, oznámit příkazci veškeré skutečnosti, které by mohly vést ke změně pokynů příkazce.</w:t>
      </w:r>
    </w:p>
    <w:p w14:paraId="614F08B8" w14:textId="77777777" w:rsidR="003338A2" w:rsidRPr="00C0481E" w:rsidRDefault="003E0D46" w:rsidP="003338A2">
      <w:pPr>
        <w:pStyle w:val="Zkladntext"/>
        <w:numPr>
          <w:ilvl w:val="0"/>
          <w:numId w:val="17"/>
        </w:numPr>
        <w:suppressAutoHyphens/>
        <w:spacing w:after="60" w:line="240" w:lineRule="auto"/>
        <w:jc w:val="both"/>
        <w:rPr>
          <w:rFonts w:ascii="Cambria" w:hAnsi="Cambria" w:cs="Arial"/>
        </w:rPr>
      </w:pPr>
      <w:r w:rsidRPr="00C0481E">
        <w:rPr>
          <w:rFonts w:ascii="Cambria" w:hAnsi="Cambria" w:cs="Arial"/>
        </w:rPr>
        <w:t>Kdykoliv v průběhu plnění této S</w:t>
      </w:r>
      <w:r w:rsidR="003338A2" w:rsidRPr="00C0481E">
        <w:rPr>
          <w:rFonts w:ascii="Cambria" w:hAnsi="Cambria" w:cs="Arial"/>
        </w:rPr>
        <w:t>mlouvy bez zbytečného odkladu upozornit příkazce na nevhodnost jeho pokynů a postupů, případně na zjevný rozpor pokynů příkazce s projektovou dokumentací pro provádění stavby, vydanými povoleními stavby, smlouvou o dílo se zhotovitelem Stavby nebo souvisejícími dokumenty nebo právními předpisy.</w:t>
      </w:r>
    </w:p>
    <w:p w14:paraId="300E6A90" w14:textId="77777777" w:rsidR="003338A2" w:rsidRPr="00C0481E" w:rsidRDefault="003338A2" w:rsidP="003338A2">
      <w:pPr>
        <w:pStyle w:val="Zkladntext"/>
        <w:numPr>
          <w:ilvl w:val="0"/>
          <w:numId w:val="17"/>
        </w:numPr>
        <w:suppressAutoHyphens/>
        <w:spacing w:after="60" w:line="240" w:lineRule="auto"/>
        <w:jc w:val="both"/>
        <w:rPr>
          <w:rFonts w:ascii="Cambria" w:hAnsi="Cambria" w:cs="Arial"/>
        </w:rPr>
      </w:pPr>
      <w:r w:rsidRPr="00C0481E">
        <w:rPr>
          <w:rFonts w:ascii="Cambria" w:hAnsi="Cambria" w:cs="Arial"/>
        </w:rPr>
        <w:t>Účastnit se všech kontrolních dnů svolávaných příkazcem.</w:t>
      </w:r>
    </w:p>
    <w:p w14:paraId="341AE97C" w14:textId="77777777" w:rsidR="003338A2" w:rsidRPr="00C0481E" w:rsidRDefault="003338A2" w:rsidP="003338A2">
      <w:pPr>
        <w:pStyle w:val="Zkladntext"/>
        <w:numPr>
          <w:ilvl w:val="0"/>
          <w:numId w:val="17"/>
        </w:numPr>
        <w:suppressAutoHyphens/>
        <w:spacing w:after="60" w:line="240" w:lineRule="auto"/>
        <w:jc w:val="both"/>
        <w:rPr>
          <w:rFonts w:ascii="Cambria" w:hAnsi="Cambria" w:cs="Arial"/>
        </w:rPr>
      </w:pPr>
      <w:r w:rsidRPr="00C0481E">
        <w:rPr>
          <w:rFonts w:ascii="Cambria" w:hAnsi="Cambria" w:cs="Arial"/>
        </w:rPr>
        <w:t xml:space="preserve">Předat příkazci ke dni ukončení řízení o předání a převzetí stavby bez vad </w:t>
      </w:r>
      <w:r w:rsidRPr="00C0481E">
        <w:rPr>
          <w:rFonts w:ascii="Cambria" w:hAnsi="Cambria" w:cs="Arial"/>
        </w:rPr>
        <w:br/>
        <w:t>a nedodělků dokumentaci o průběhu výstavby, závěrečné zprávy o hodnocení stavby, případně další dokumenty potřebné k řádnému převzetí stavby.</w:t>
      </w:r>
    </w:p>
    <w:p w14:paraId="077C055B" w14:textId="77777777" w:rsidR="00611B39" w:rsidRPr="00C0481E" w:rsidRDefault="003338A2" w:rsidP="00611B39">
      <w:pPr>
        <w:pStyle w:val="Nadpis3"/>
        <w:numPr>
          <w:ilvl w:val="1"/>
          <w:numId w:val="22"/>
        </w:numPr>
        <w:rPr>
          <w:sz w:val="22"/>
          <w:szCs w:val="22"/>
        </w:rPr>
      </w:pPr>
      <w:r w:rsidRPr="00C0481E">
        <w:rPr>
          <w:rFonts w:cs="Arial"/>
          <w:sz w:val="22"/>
          <w:szCs w:val="22"/>
        </w:rPr>
        <w:t>Příkazník se může odchýlit od pokynů příkazce jen, je-li to naléhavě nezbytné v zájmu příkazce, pokud nemůže včas obdržet jeho souhlas. Je však povinen bezodkladně informovat o těchto skutečnostech příkazce a vyžádat si dodatečný souhlas.</w:t>
      </w:r>
    </w:p>
    <w:p w14:paraId="3BE6163A" w14:textId="77777777" w:rsidR="00611B39" w:rsidRPr="00C0481E" w:rsidRDefault="003338A2" w:rsidP="00611B39">
      <w:pPr>
        <w:pStyle w:val="Nadpis3"/>
        <w:numPr>
          <w:ilvl w:val="1"/>
          <w:numId w:val="22"/>
        </w:numPr>
        <w:rPr>
          <w:sz w:val="22"/>
          <w:szCs w:val="22"/>
        </w:rPr>
      </w:pPr>
      <w:r w:rsidRPr="00C0481E">
        <w:rPr>
          <w:rFonts w:cs="Arial"/>
          <w:sz w:val="22"/>
          <w:szCs w:val="22"/>
        </w:rPr>
        <w:t xml:space="preserve">Příkazník se zavazuje dodržovat ustanovení zákona č. 309/2006 Sb. a nařízení vlády </w:t>
      </w:r>
      <w:r w:rsidRPr="00C0481E">
        <w:rPr>
          <w:rFonts w:cs="Arial"/>
          <w:sz w:val="22"/>
          <w:szCs w:val="22"/>
        </w:rPr>
        <w:br/>
        <w:t xml:space="preserve">č. 591/2006 Sb. a zajistit všechny povinnosti stavebníka (objednatele) plynoucí z těchto předpisů (mimo povinnosti objednatele vůči koordinátorovi bezpečnosti a ochrany zdraví při práci na staveništi), včetně zajištění zpracování plánu bezpečnosti a ochrany zdraví </w:t>
      </w:r>
      <w:r w:rsidRPr="00C0481E">
        <w:rPr>
          <w:rFonts w:cs="Arial"/>
          <w:sz w:val="22"/>
          <w:szCs w:val="22"/>
        </w:rPr>
        <w:br/>
        <w:t xml:space="preserve">při práci na staveništi, a to před zahájením prací na staveništi, a jeho aktualizace </w:t>
      </w:r>
      <w:r w:rsidRPr="00C0481E">
        <w:rPr>
          <w:rFonts w:cs="Arial"/>
          <w:sz w:val="22"/>
          <w:szCs w:val="22"/>
        </w:rPr>
        <w:br/>
        <w:t>v průběhu stavby.</w:t>
      </w:r>
    </w:p>
    <w:p w14:paraId="04EF8252" w14:textId="77777777" w:rsidR="00611B39" w:rsidRPr="00C0481E" w:rsidRDefault="003338A2" w:rsidP="00611B39">
      <w:pPr>
        <w:pStyle w:val="Nadpis3"/>
        <w:numPr>
          <w:ilvl w:val="1"/>
          <w:numId w:val="22"/>
        </w:numPr>
        <w:rPr>
          <w:sz w:val="22"/>
          <w:szCs w:val="22"/>
        </w:rPr>
      </w:pPr>
      <w:r w:rsidRPr="00C0481E">
        <w:rPr>
          <w:rFonts w:cs="Arial"/>
          <w:sz w:val="22"/>
          <w:szCs w:val="22"/>
        </w:rPr>
        <w:t>Příkazník je povinen vykonávat veškerou činnost osobně s vynaložením veškeré odborné péče jakou lze po něm požadovat a odpovídá za výkon takovéto činnosti v potřebné kvalitě. Příkazník není oprávněn bez předchozího písemného souhlasu příkazce nechat s</w:t>
      </w:r>
      <w:r w:rsidR="003E0D46" w:rsidRPr="00C0481E">
        <w:rPr>
          <w:rFonts w:cs="Arial"/>
          <w:sz w:val="22"/>
          <w:szCs w:val="22"/>
        </w:rPr>
        <w:t>e při výkonu činnosti dle S</w:t>
      </w:r>
      <w:r w:rsidRPr="00C0481E">
        <w:rPr>
          <w:rFonts w:cs="Arial"/>
          <w:sz w:val="22"/>
          <w:szCs w:val="22"/>
        </w:rPr>
        <w:t>mlouvy zastupovat třetí osobou. Z</w:t>
      </w:r>
      <w:r w:rsidR="00B33E24">
        <w:rPr>
          <w:rFonts w:cs="Arial"/>
          <w:sz w:val="22"/>
          <w:szCs w:val="22"/>
        </w:rPr>
        <w:t>a</w:t>
      </w:r>
      <w:r w:rsidRPr="00C0481E">
        <w:rPr>
          <w:rFonts w:cs="Arial"/>
          <w:sz w:val="22"/>
          <w:szCs w:val="22"/>
        </w:rPr>
        <w:t> třetí osobu nejsou považováni pověření zaměstnanci příkazníka.</w:t>
      </w:r>
    </w:p>
    <w:p w14:paraId="73672FB2" w14:textId="77777777" w:rsidR="00611B39" w:rsidRPr="00C0481E" w:rsidRDefault="003338A2" w:rsidP="00907B4D">
      <w:pPr>
        <w:pStyle w:val="Nadpis3"/>
        <w:numPr>
          <w:ilvl w:val="1"/>
          <w:numId w:val="22"/>
        </w:numPr>
        <w:rPr>
          <w:sz w:val="22"/>
          <w:szCs w:val="22"/>
        </w:rPr>
      </w:pPr>
      <w:r w:rsidRPr="00C0481E">
        <w:rPr>
          <w:rFonts w:cs="Arial"/>
          <w:sz w:val="22"/>
          <w:szCs w:val="22"/>
        </w:rPr>
        <w:t>Příkazník je povinen poskytovat příkazci veškeré informace, doklady apod., písemnou formou.</w:t>
      </w:r>
      <w:r w:rsidR="00907B4D" w:rsidRPr="00C0481E">
        <w:rPr>
          <w:rFonts w:cs="Arial"/>
          <w:sz w:val="22"/>
          <w:szCs w:val="22"/>
        </w:rPr>
        <w:t xml:space="preserve"> Smluvní strany se dohodly, že pro doručování veškerých pí</w:t>
      </w:r>
      <w:r w:rsidR="00721826" w:rsidRPr="00C0481E">
        <w:rPr>
          <w:rFonts w:cs="Arial"/>
          <w:sz w:val="22"/>
          <w:szCs w:val="22"/>
        </w:rPr>
        <w:t xml:space="preserve">semností souvisejících </w:t>
      </w:r>
      <w:r w:rsidR="00721826" w:rsidRPr="00C0481E">
        <w:rPr>
          <w:rFonts w:cs="Arial"/>
          <w:sz w:val="22"/>
          <w:szCs w:val="22"/>
        </w:rPr>
        <w:br/>
        <w:t xml:space="preserve">s plnění Veřejné zakázky </w:t>
      </w:r>
      <w:r w:rsidR="00907B4D" w:rsidRPr="00C0481E">
        <w:rPr>
          <w:rFonts w:cs="Arial"/>
          <w:sz w:val="22"/>
          <w:szCs w:val="22"/>
        </w:rPr>
        <w:t xml:space="preserve">budou doručovat na jejich adresu uvedenou v záhlaví </w:t>
      </w:r>
      <w:r w:rsidR="00721826" w:rsidRPr="00C0481E">
        <w:rPr>
          <w:rFonts w:cs="Arial"/>
          <w:sz w:val="22"/>
          <w:szCs w:val="22"/>
        </w:rPr>
        <w:t>S</w:t>
      </w:r>
      <w:r w:rsidR="00907B4D" w:rsidRPr="00C0481E">
        <w:rPr>
          <w:rFonts w:cs="Arial"/>
          <w:sz w:val="22"/>
          <w:szCs w:val="22"/>
        </w:rPr>
        <w:t xml:space="preserve">mlouvy, pokud si písemně prokazatelným způsobem neoznámí změnu doručovací adresy. Odmítne-li kterákoliv </w:t>
      </w:r>
      <w:r w:rsidR="00907B4D" w:rsidRPr="00C0481E">
        <w:rPr>
          <w:rFonts w:cs="Arial"/>
          <w:sz w:val="22"/>
          <w:szCs w:val="22"/>
        </w:rPr>
        <w:lastRenderedPageBreak/>
        <w:t>ze smluvních stran převzetí písemnosti doručované jí v souvislosti s</w:t>
      </w:r>
      <w:r w:rsidR="00721826" w:rsidRPr="00C0481E">
        <w:rPr>
          <w:rFonts w:cs="Arial"/>
          <w:sz w:val="22"/>
          <w:szCs w:val="22"/>
        </w:rPr>
        <w:t>eS</w:t>
      </w:r>
      <w:r w:rsidR="00907B4D" w:rsidRPr="00C0481E">
        <w:rPr>
          <w:rFonts w:cs="Arial"/>
          <w:sz w:val="22"/>
          <w:szCs w:val="22"/>
        </w:rPr>
        <w:t>mlouvou, nebo jakkoliv jinak zmaří její doručení, má se za to, že tato písemnost byla doručena dnem odmítnutí převzetí, nebo uplynutím úložní lhůty na poště. V pochybnostech, nebo není-li prokázán jiný den doručení, se veškeré písemnosti do</w:t>
      </w:r>
      <w:r w:rsidR="003E0D46" w:rsidRPr="00C0481E">
        <w:rPr>
          <w:rFonts w:cs="Arial"/>
          <w:sz w:val="22"/>
          <w:szCs w:val="22"/>
        </w:rPr>
        <w:t>ručované v souvislosti se S</w:t>
      </w:r>
      <w:r w:rsidR="00907B4D" w:rsidRPr="00C0481E">
        <w:rPr>
          <w:rFonts w:cs="Arial"/>
          <w:sz w:val="22"/>
          <w:szCs w:val="22"/>
        </w:rPr>
        <w:t>mlouvou považují za doručené nejpozději třetí den ode dne podání písemnosti k poštovní přepravě.</w:t>
      </w:r>
    </w:p>
    <w:p w14:paraId="589DAA70" w14:textId="77777777" w:rsidR="003338A2" w:rsidRPr="00C0481E" w:rsidRDefault="00907B4D" w:rsidP="00611B39">
      <w:pPr>
        <w:pStyle w:val="Nadpis3"/>
        <w:numPr>
          <w:ilvl w:val="1"/>
          <w:numId w:val="22"/>
        </w:numPr>
        <w:rPr>
          <w:sz w:val="22"/>
          <w:szCs w:val="22"/>
        </w:rPr>
      </w:pPr>
      <w:r w:rsidRPr="00C0481E">
        <w:rPr>
          <w:rFonts w:cs="Arial"/>
          <w:sz w:val="22"/>
          <w:szCs w:val="22"/>
        </w:rPr>
        <w:t xml:space="preserve">Příkazník se zavazuje, že jakékoliv informace, které se dověděl v </w:t>
      </w:r>
      <w:r w:rsidR="003E0D46" w:rsidRPr="00C0481E">
        <w:rPr>
          <w:rFonts w:cs="Arial"/>
          <w:sz w:val="22"/>
          <w:szCs w:val="22"/>
        </w:rPr>
        <w:t>souvislosti s plněním předmětu S</w:t>
      </w:r>
      <w:r w:rsidRPr="00C0481E">
        <w:rPr>
          <w:rFonts w:cs="Arial"/>
          <w:sz w:val="22"/>
          <w:szCs w:val="22"/>
        </w:rPr>
        <w:t>mlouvy, ne</w:t>
      </w:r>
      <w:r w:rsidR="003E0D46" w:rsidRPr="00C0481E">
        <w:rPr>
          <w:rFonts w:cs="Arial"/>
          <w:sz w:val="22"/>
          <w:szCs w:val="22"/>
        </w:rPr>
        <w:t>bo které jsou obsahem předmětu S</w:t>
      </w:r>
      <w:r w:rsidRPr="00C0481E">
        <w:rPr>
          <w:rFonts w:cs="Arial"/>
          <w:sz w:val="22"/>
          <w:szCs w:val="22"/>
        </w:rPr>
        <w:t>mlouvy, neposkytne třetím osobám</w:t>
      </w:r>
      <w:r w:rsidR="003E0D46" w:rsidRPr="00C0481E">
        <w:rPr>
          <w:rFonts w:cs="Arial"/>
          <w:sz w:val="22"/>
          <w:szCs w:val="22"/>
        </w:rPr>
        <w:t>.</w:t>
      </w:r>
    </w:p>
    <w:p w14:paraId="33A05E62" w14:textId="77777777" w:rsidR="003338A2" w:rsidRPr="00C0481E" w:rsidRDefault="003338A2" w:rsidP="003338A2">
      <w:pPr>
        <w:suppressAutoHyphens/>
        <w:spacing w:after="120"/>
        <w:jc w:val="both"/>
        <w:rPr>
          <w:rFonts w:ascii="Cambria" w:hAnsi="Cambria" w:cs="Arial"/>
          <w:sz w:val="22"/>
          <w:szCs w:val="22"/>
        </w:rPr>
      </w:pPr>
    </w:p>
    <w:p w14:paraId="2A51AB52" w14:textId="77777777" w:rsidR="003338A2" w:rsidRPr="00C0481E" w:rsidRDefault="003338A2" w:rsidP="008F2C10">
      <w:pPr>
        <w:suppressAutoHyphens/>
        <w:spacing w:after="120"/>
        <w:jc w:val="both"/>
        <w:rPr>
          <w:rFonts w:ascii="Cambria" w:hAnsi="Cambria" w:cs="Arial"/>
        </w:rPr>
      </w:pPr>
    </w:p>
    <w:sectPr w:rsidR="003338A2" w:rsidRPr="00C0481E" w:rsidSect="002271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1"/>
      <w:numFmt w:val="lowerLetter"/>
      <w:lvlText w:val="%1)"/>
      <w:lvlJc w:val="left"/>
      <w:pPr>
        <w:tabs>
          <w:tab w:val="num" w:pos="851"/>
        </w:tabs>
        <w:ind w:left="851" w:hanging="426"/>
      </w:pPr>
      <w:rPr>
        <w:rFonts w:hint="default"/>
      </w:rPr>
    </w:lvl>
  </w:abstractNum>
  <w:abstractNum w:abstractNumId="1" w15:restartNumberingAfterBreak="0">
    <w:nsid w:val="00000013"/>
    <w:multiLevelType w:val="multilevel"/>
    <w:tmpl w:val="00000013"/>
    <w:name w:val="WW8Num19"/>
    <w:lvl w:ilvl="0">
      <w:start w:val="9"/>
      <w:numFmt w:val="decimal"/>
      <w:lvlText w:val="%1."/>
      <w:lvlJc w:val="left"/>
      <w:pPr>
        <w:tabs>
          <w:tab w:val="num" w:pos="1131"/>
        </w:tabs>
        <w:ind w:left="1131" w:hanging="705"/>
      </w:pPr>
      <w:rPr>
        <w:rFonts w:cs="Times New Roman"/>
      </w:rPr>
    </w:lvl>
    <w:lvl w:ilvl="1">
      <w:start w:val="1"/>
      <w:numFmt w:val="decimal"/>
      <w:lvlText w:val="%1.%2."/>
      <w:lvlJc w:val="left"/>
      <w:pPr>
        <w:tabs>
          <w:tab w:val="num" w:pos="1131"/>
        </w:tabs>
        <w:ind w:left="1131" w:hanging="705"/>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146"/>
        </w:tabs>
        <w:ind w:left="1146" w:hanging="720"/>
      </w:pPr>
      <w:rPr>
        <w:rFonts w:cs="Times New Roman"/>
      </w:rPr>
    </w:lvl>
    <w:lvl w:ilvl="4">
      <w:start w:val="1"/>
      <w:numFmt w:val="decimal"/>
      <w:lvlText w:val="%1.%2.%3.%4.%5."/>
      <w:lvlJc w:val="left"/>
      <w:pPr>
        <w:tabs>
          <w:tab w:val="num" w:pos="1506"/>
        </w:tabs>
        <w:ind w:left="1506" w:hanging="1080"/>
      </w:pPr>
      <w:rPr>
        <w:rFonts w:cs="Times New Roman"/>
      </w:rPr>
    </w:lvl>
    <w:lvl w:ilvl="5">
      <w:start w:val="1"/>
      <w:numFmt w:val="decimal"/>
      <w:lvlText w:val="%1.%2.%3.%4.%5.%6."/>
      <w:lvlJc w:val="left"/>
      <w:pPr>
        <w:tabs>
          <w:tab w:val="num" w:pos="1506"/>
        </w:tabs>
        <w:ind w:left="1506" w:hanging="1080"/>
      </w:pPr>
      <w:rPr>
        <w:rFonts w:cs="Times New Roman"/>
      </w:rPr>
    </w:lvl>
    <w:lvl w:ilvl="6">
      <w:start w:val="1"/>
      <w:numFmt w:val="decimal"/>
      <w:lvlText w:val="%1.%2.%3.%4.%5.%6.%7."/>
      <w:lvlJc w:val="left"/>
      <w:pPr>
        <w:tabs>
          <w:tab w:val="num" w:pos="1866"/>
        </w:tabs>
        <w:ind w:left="1866" w:hanging="1440"/>
      </w:pPr>
      <w:rPr>
        <w:rFonts w:cs="Times New Roman"/>
      </w:rPr>
    </w:lvl>
    <w:lvl w:ilvl="7">
      <w:start w:val="1"/>
      <w:numFmt w:val="decimal"/>
      <w:lvlText w:val="%1.%2.%3.%4.%5.%6.%7.%8."/>
      <w:lvlJc w:val="left"/>
      <w:pPr>
        <w:tabs>
          <w:tab w:val="num" w:pos="1866"/>
        </w:tabs>
        <w:ind w:left="1866" w:hanging="1440"/>
      </w:pPr>
      <w:rPr>
        <w:rFonts w:cs="Times New Roman"/>
      </w:rPr>
    </w:lvl>
    <w:lvl w:ilvl="8">
      <w:start w:val="1"/>
      <w:numFmt w:val="decimal"/>
      <w:lvlText w:val="%1.%2.%3.%4.%5.%6.%7.%8.%9."/>
      <w:lvlJc w:val="left"/>
      <w:pPr>
        <w:tabs>
          <w:tab w:val="num" w:pos="2226"/>
        </w:tabs>
        <w:ind w:left="2226" w:hanging="1800"/>
      </w:pPr>
      <w:rPr>
        <w:rFonts w:cs="Times New Roman"/>
      </w:rPr>
    </w:lvl>
  </w:abstractNum>
  <w:abstractNum w:abstractNumId="2" w15:restartNumberingAfterBreak="0">
    <w:nsid w:val="031A2FAC"/>
    <w:multiLevelType w:val="multilevel"/>
    <w:tmpl w:val="50E48A4C"/>
    <w:lvl w:ilvl="0">
      <w:start w:val="1"/>
      <w:numFmt w:val="upperRoman"/>
      <w:lvlText w:val="%1."/>
      <w:lvlJc w:val="left"/>
      <w:pPr>
        <w:ind w:left="720" w:firstLine="0"/>
      </w:pPr>
      <w:rPr>
        <w:rFonts w:cs="Times New Roman" w:hint="default"/>
      </w:rPr>
    </w:lvl>
    <w:lvl w:ilvl="1">
      <w:start w:val="1"/>
      <w:numFmt w:val="decimal"/>
      <w:lvlText w:val="%2."/>
      <w:lvlJc w:val="left"/>
      <w:pPr>
        <w:ind w:left="0" w:firstLine="0"/>
      </w:pPr>
      <w:rPr>
        <w:rFonts w:ascii="Cambria" w:eastAsia="Calibri" w:hAnsi="Cambria" w:cs="Times New Roman" w:hint="default"/>
        <w:b/>
        <w:bCs/>
        <w:sz w:val="22"/>
        <w:szCs w:val="22"/>
      </w:rPr>
    </w:lvl>
    <w:lvl w:ilvl="2">
      <w:start w:val="1"/>
      <w:numFmt w:val="lowerLetter"/>
      <w:lvlText w:val="%3)"/>
      <w:lvlJc w:val="left"/>
      <w:pPr>
        <w:ind w:left="2160" w:firstLine="0"/>
      </w:pPr>
      <w:rPr>
        <w:rFonts w:cs="Times New Roman" w:hint="default"/>
        <w:b w:val="0"/>
        <w:bCs w:val="0"/>
        <w:sz w:val="22"/>
        <w:szCs w:val="22"/>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 w15:restartNumberingAfterBreak="0">
    <w:nsid w:val="0D88436E"/>
    <w:multiLevelType w:val="multilevel"/>
    <w:tmpl w:val="7368E83E"/>
    <w:lvl w:ilvl="0">
      <w:start w:val="1"/>
      <w:numFmt w:val="decimal"/>
      <w:lvlText w:val="%1."/>
      <w:lvlJc w:val="left"/>
      <w:pPr>
        <w:ind w:left="0"/>
      </w:pPr>
      <w:rPr>
        <w:rFonts w:hint="default"/>
      </w:rPr>
    </w:lvl>
    <w:lvl w:ilvl="1">
      <w:start w:val="28"/>
      <w:numFmt w:val="decimal"/>
      <w:lvlText w:val="%2."/>
      <w:lvlJc w:val="left"/>
      <w:pPr>
        <w:ind w:left="2115"/>
      </w:pPr>
      <w:rPr>
        <w:rFonts w:cs="Times New Roman" w:hint="default"/>
        <w:b/>
        <w:bCs/>
      </w:rPr>
    </w:lvl>
    <w:lvl w:ilvl="2">
      <w:start w:val="1"/>
      <w:numFmt w:val="lowerLetter"/>
      <w:lvlText w:val="%3)"/>
      <w:lvlJc w:val="left"/>
      <w:pPr>
        <w:ind w:left="1440"/>
      </w:pPr>
      <w:rPr>
        <w:rFonts w:cs="Times New Roman" w:hint="default"/>
        <w:b w:val="0"/>
        <w:bCs w:val="0"/>
      </w:rPr>
    </w:lvl>
    <w:lvl w:ilvl="3">
      <w:start w:val="1"/>
      <w:numFmt w:val="lowerRoman"/>
      <w:lvlText w:val="%4)"/>
      <w:lvlJc w:val="left"/>
      <w:pPr>
        <w:ind w:left="216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4" w15:restartNumberingAfterBreak="0">
    <w:nsid w:val="0E796D38"/>
    <w:multiLevelType w:val="multilevel"/>
    <w:tmpl w:val="5DB0BA64"/>
    <w:lvl w:ilvl="0">
      <w:start w:val="1"/>
      <w:numFmt w:val="upperRoman"/>
      <w:lvlText w:val="%1."/>
      <w:lvlJc w:val="left"/>
      <w:pPr>
        <w:ind w:left="720" w:firstLine="0"/>
      </w:pPr>
      <w:rPr>
        <w:rFonts w:cs="Times New Roman" w:hint="default"/>
      </w:rPr>
    </w:lvl>
    <w:lvl w:ilvl="1">
      <w:start w:val="1"/>
      <w:numFmt w:val="decimal"/>
      <w:lvlText w:val="%2."/>
      <w:lvlJc w:val="left"/>
      <w:pPr>
        <w:ind w:left="0" w:firstLine="0"/>
      </w:pPr>
      <w:rPr>
        <w:rFonts w:ascii="Cambria" w:eastAsia="Calibri" w:hAnsi="Cambria" w:cs="Times New Roman" w:hint="default"/>
        <w:b/>
        <w:bCs/>
        <w:sz w:val="22"/>
        <w:szCs w:val="22"/>
      </w:rPr>
    </w:lvl>
    <w:lvl w:ilvl="2">
      <w:start w:val="1"/>
      <w:numFmt w:val="lowerLetter"/>
      <w:lvlText w:val="%3)"/>
      <w:lvlJc w:val="left"/>
      <w:pPr>
        <w:ind w:left="1276" w:firstLine="0"/>
      </w:pPr>
      <w:rPr>
        <w:rFonts w:cs="Times New Roman" w:hint="default"/>
        <w:b w:val="0"/>
        <w:bCs w:val="0"/>
        <w:sz w:val="22"/>
        <w:szCs w:val="22"/>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5" w15:restartNumberingAfterBreak="0">
    <w:nsid w:val="10485E54"/>
    <w:multiLevelType w:val="multilevel"/>
    <w:tmpl w:val="FEFC9B52"/>
    <w:lvl w:ilvl="0">
      <w:start w:val="1"/>
      <w:numFmt w:val="upperRoman"/>
      <w:lvlText w:val="%1."/>
      <w:lvlJc w:val="left"/>
      <w:pPr>
        <w:ind w:left="720" w:firstLine="0"/>
      </w:pPr>
      <w:rPr>
        <w:rFonts w:cs="Times New Roman" w:hint="default"/>
      </w:rPr>
    </w:lvl>
    <w:lvl w:ilvl="1">
      <w:start w:val="1"/>
      <w:numFmt w:val="decimal"/>
      <w:lvlText w:val="%2."/>
      <w:lvlJc w:val="left"/>
      <w:pPr>
        <w:ind w:left="0" w:firstLine="0"/>
      </w:pPr>
      <w:rPr>
        <w:rFonts w:ascii="Cambria" w:eastAsia="Calibri" w:hAnsi="Cambria" w:cs="Times New Roman" w:hint="default"/>
        <w:b/>
        <w:bCs/>
        <w:sz w:val="22"/>
        <w:szCs w:val="22"/>
      </w:rPr>
    </w:lvl>
    <w:lvl w:ilvl="2">
      <w:start w:val="1"/>
      <w:numFmt w:val="lowerLetter"/>
      <w:lvlText w:val="%3)"/>
      <w:lvlJc w:val="left"/>
      <w:pPr>
        <w:ind w:left="1276" w:firstLine="0"/>
      </w:pPr>
      <w:rPr>
        <w:rFonts w:cs="Times New Roman" w:hint="default"/>
        <w:b w:val="0"/>
        <w:bCs w:val="0"/>
        <w:sz w:val="22"/>
        <w:szCs w:val="22"/>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6" w15:restartNumberingAfterBreak="0">
    <w:nsid w:val="17A674B0"/>
    <w:multiLevelType w:val="multilevel"/>
    <w:tmpl w:val="3824453E"/>
    <w:lvl w:ilvl="0">
      <w:start w:val="1"/>
      <w:numFmt w:val="upperRoman"/>
      <w:pStyle w:val="Nadpis1"/>
      <w:lvlText w:val="%1."/>
      <w:lvlJc w:val="left"/>
      <w:pPr>
        <w:ind w:left="3080" w:firstLine="0"/>
      </w:pPr>
      <w:rPr>
        <w:rFonts w:cs="Times New Roman" w:hint="default"/>
      </w:rPr>
    </w:lvl>
    <w:lvl w:ilvl="1">
      <w:start w:val="1"/>
      <w:numFmt w:val="upperRoman"/>
      <w:pStyle w:val="Nadpis2"/>
      <w:lvlText w:val="%2."/>
      <w:lvlJc w:val="right"/>
      <w:pPr>
        <w:ind w:left="0" w:firstLine="0"/>
      </w:pPr>
      <w:rPr>
        <w:rFonts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7" w15:restartNumberingAfterBreak="0">
    <w:nsid w:val="1BF07534"/>
    <w:multiLevelType w:val="multilevel"/>
    <w:tmpl w:val="0A0E3BA2"/>
    <w:lvl w:ilvl="0">
      <w:start w:val="1"/>
      <w:numFmt w:val="upperRoman"/>
      <w:lvlText w:val="%1."/>
      <w:lvlJc w:val="left"/>
      <w:pPr>
        <w:ind w:left="720" w:firstLine="0"/>
      </w:pPr>
      <w:rPr>
        <w:rFonts w:cs="Times New Roman" w:hint="default"/>
      </w:rPr>
    </w:lvl>
    <w:lvl w:ilvl="1">
      <w:start w:val="1"/>
      <w:numFmt w:val="decimal"/>
      <w:lvlText w:val="%2."/>
      <w:lvlJc w:val="left"/>
      <w:pPr>
        <w:ind w:left="0" w:firstLine="0"/>
      </w:pPr>
      <w:rPr>
        <w:rFonts w:ascii="Cambria" w:eastAsia="Calibri" w:hAnsi="Cambria" w:cs="Times New Roman" w:hint="default"/>
        <w:b/>
        <w:bCs/>
        <w:sz w:val="22"/>
        <w:szCs w:val="22"/>
      </w:rPr>
    </w:lvl>
    <w:lvl w:ilvl="2">
      <w:start w:val="1"/>
      <w:numFmt w:val="lowerLetter"/>
      <w:lvlText w:val="%3)"/>
      <w:lvlJc w:val="left"/>
      <w:pPr>
        <w:ind w:left="1276" w:firstLine="0"/>
      </w:pPr>
      <w:rPr>
        <w:rFonts w:cs="Times New Roman" w:hint="default"/>
        <w:b w:val="0"/>
        <w:bCs w:val="0"/>
        <w:sz w:val="22"/>
        <w:szCs w:val="22"/>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2C0F097E"/>
    <w:multiLevelType w:val="hybridMultilevel"/>
    <w:tmpl w:val="0220E780"/>
    <w:name w:val="WW8Num2222"/>
    <w:lvl w:ilvl="0" w:tplc="CED2D5E8">
      <w:start w:val="1"/>
      <w:numFmt w:val="decimal"/>
      <w:lvlText w:val="%1."/>
      <w:lvlJc w:val="left"/>
      <w:pPr>
        <w:tabs>
          <w:tab w:val="num" w:pos="757"/>
        </w:tabs>
        <w:ind w:left="757" w:hanging="397"/>
      </w:pPr>
      <w:rPr>
        <w:rFonts w:ascii="Arial" w:hAnsi="Arial" w:hint="default"/>
        <w:b w:val="0"/>
        <w:i w:val="0"/>
        <w:strike w:val="0"/>
        <w:dstrike w:val="0"/>
        <w:sz w:val="22"/>
      </w:rPr>
    </w:lvl>
    <w:lvl w:ilvl="1" w:tplc="1068BEF6">
      <w:start w:val="1"/>
      <w:numFmt w:val="bullet"/>
      <w:lvlText w:val=""/>
      <w:lvlJc w:val="left"/>
      <w:pPr>
        <w:tabs>
          <w:tab w:val="num" w:pos="1440"/>
        </w:tabs>
        <w:ind w:left="1440" w:hanging="360"/>
      </w:pPr>
      <w:rPr>
        <w:rFonts w:ascii="Symbol" w:hAnsi="Symbol" w:hint="default"/>
        <w:b w:val="0"/>
        <w:i w:val="0"/>
        <w:strike w:val="0"/>
        <w:dstrike w:val="0"/>
        <w:color w:val="auto"/>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5BCA2EE2"/>
    <w:multiLevelType w:val="hybridMultilevel"/>
    <w:tmpl w:val="00C4CDD0"/>
    <w:lvl w:ilvl="0" w:tplc="46D234B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8A0055B"/>
    <w:multiLevelType w:val="multilevel"/>
    <w:tmpl w:val="7DDA9D6C"/>
    <w:lvl w:ilvl="0">
      <w:start w:val="1"/>
      <w:numFmt w:val="upperRoman"/>
      <w:lvlText w:val="%1."/>
      <w:lvlJc w:val="left"/>
      <w:pPr>
        <w:ind w:left="720" w:firstLine="0"/>
      </w:pPr>
      <w:rPr>
        <w:rFonts w:cs="Times New Roman" w:hint="default"/>
      </w:rPr>
    </w:lvl>
    <w:lvl w:ilvl="1">
      <w:start w:val="1"/>
      <w:numFmt w:val="decimal"/>
      <w:lvlText w:val="%2."/>
      <w:lvlJc w:val="left"/>
      <w:pPr>
        <w:ind w:left="0" w:firstLine="0"/>
      </w:pPr>
      <w:rPr>
        <w:rFonts w:ascii="Cambria" w:eastAsia="Calibri" w:hAnsi="Cambria" w:cs="Times New Roman" w:hint="default"/>
        <w:b/>
        <w:bCs/>
        <w:sz w:val="22"/>
        <w:szCs w:val="22"/>
      </w:rPr>
    </w:lvl>
    <w:lvl w:ilvl="2">
      <w:start w:val="1"/>
      <w:numFmt w:val="lowerLetter"/>
      <w:lvlText w:val="%3)"/>
      <w:lvlJc w:val="left"/>
      <w:pPr>
        <w:ind w:left="2160" w:firstLine="0"/>
      </w:pPr>
      <w:rPr>
        <w:rFonts w:cs="Times New Roman" w:hint="default"/>
        <w:b w:val="0"/>
        <w:bCs w:val="0"/>
        <w:sz w:val="22"/>
        <w:szCs w:val="22"/>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2" w15:restartNumberingAfterBreak="0">
    <w:nsid w:val="6E015D14"/>
    <w:multiLevelType w:val="multilevel"/>
    <w:tmpl w:val="54F6BBBA"/>
    <w:lvl w:ilvl="0">
      <w:start w:val="1"/>
      <w:numFmt w:val="upperLetter"/>
      <w:lvlText w:val="%1."/>
      <w:lvlJc w:val="left"/>
      <w:pPr>
        <w:ind w:left="720" w:firstLine="0"/>
      </w:pPr>
      <w:rPr>
        <w:rFonts w:hint="default"/>
        <w:i w:val="0"/>
      </w:rPr>
    </w:lvl>
    <w:lvl w:ilvl="1">
      <w:start w:val="1"/>
      <w:numFmt w:val="decimal"/>
      <w:lvlText w:val="%2."/>
      <w:lvlJc w:val="left"/>
      <w:pPr>
        <w:ind w:left="2835" w:firstLine="0"/>
      </w:pPr>
      <w:rPr>
        <w:rFonts w:cs="Times New Roman" w:hint="default"/>
        <w:b/>
        <w:bCs/>
      </w:rPr>
    </w:lvl>
    <w:lvl w:ilvl="2">
      <w:start w:val="1"/>
      <w:numFmt w:val="upperLetter"/>
      <w:lvlText w:val="%3."/>
      <w:lvlJc w:val="left"/>
      <w:pPr>
        <w:ind w:left="2160" w:firstLine="0"/>
      </w:pPr>
      <w:rPr>
        <w:rFonts w:hint="default"/>
        <w:b w:val="0"/>
        <w:bCs w:val="0"/>
        <w:i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3" w15:restartNumberingAfterBreak="0">
    <w:nsid w:val="744D7D67"/>
    <w:multiLevelType w:val="multilevel"/>
    <w:tmpl w:val="50C28F94"/>
    <w:lvl w:ilvl="0">
      <w:start w:val="1"/>
      <w:numFmt w:val="upperRoman"/>
      <w:lvlText w:val="%1."/>
      <w:lvlJc w:val="left"/>
      <w:pPr>
        <w:ind w:left="720"/>
      </w:pPr>
      <w:rPr>
        <w:rFonts w:cs="Times New Roman" w:hint="default"/>
      </w:rPr>
    </w:lvl>
    <w:lvl w:ilvl="1">
      <w:start w:val="1"/>
      <w:numFmt w:val="decimal"/>
      <w:lvlText w:val="%2."/>
      <w:lvlJc w:val="left"/>
      <w:pPr>
        <w:ind w:left="0"/>
      </w:pPr>
      <w:rPr>
        <w:rFonts w:ascii="Cambria" w:eastAsia="Calibri" w:hAnsi="Cambria" w:cs="Times New Roman"/>
        <w:b/>
        <w:bCs/>
        <w:sz w:val="22"/>
        <w:szCs w:val="22"/>
      </w:rPr>
    </w:lvl>
    <w:lvl w:ilvl="2">
      <w:start w:val="1"/>
      <w:numFmt w:val="lowerLetter"/>
      <w:lvlText w:val="%3)"/>
      <w:lvlJc w:val="left"/>
      <w:pPr>
        <w:ind w:left="2160"/>
      </w:pPr>
      <w:rPr>
        <w:rFonts w:cs="Times New Roman" w:hint="default"/>
        <w:b w:val="0"/>
        <w:bCs w:val="0"/>
        <w:sz w:val="22"/>
        <w:szCs w:val="22"/>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num w:numId="1">
    <w:abstractNumId w:val="6"/>
  </w:num>
  <w:num w:numId="2">
    <w:abstractNumId w:val="13"/>
  </w:num>
  <w:num w:numId="3">
    <w:abstractNumId w:val="1"/>
  </w:num>
  <w:num w:numId="4">
    <w:abstractNumId w:val="8"/>
  </w:num>
  <w:num w:numId="5">
    <w:abstractNumId w:val="6"/>
  </w:num>
  <w:num w:numId="6">
    <w:abstractNumId w:val="10"/>
  </w:num>
  <w:num w:numId="7">
    <w:abstractNumId w:val="6"/>
  </w:num>
  <w:num w:numId="8">
    <w:abstractNumId w:val="11"/>
  </w:num>
  <w:num w:numId="9">
    <w:abstractNumId w:val="6"/>
  </w:num>
  <w:num w:numId="10">
    <w:abstractNumId w:val="2"/>
  </w:num>
  <w:num w:numId="11">
    <w:abstractNumId w:val="12"/>
  </w:num>
  <w:num w:numId="12">
    <w:abstractNumId w:val="6"/>
  </w:num>
  <w:num w:numId="13">
    <w:abstractNumId w:val="7"/>
  </w:num>
  <w:num w:numId="14">
    <w:abstractNumId w:val="9"/>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6"/>
  </w:num>
  <w:num w:numId="19">
    <w:abstractNumId w:val="5"/>
  </w:num>
  <w:num w:numId="20">
    <w:abstractNumId w:val="6"/>
  </w:num>
  <w:num w:numId="21">
    <w:abstractNumId w:val="6"/>
  </w:num>
  <w:num w:numId="22">
    <w:abstractNumId w:val="4"/>
  </w:num>
  <w:num w:numId="23">
    <w:abstractNumId w:val="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08"/>
  <w:hyphenationZone w:val="425"/>
  <w:characterSpacingControl w:val="doNotCompress"/>
  <w:compat>
    <w:compatSetting w:name="compatibilityMode" w:uri="http://schemas.microsoft.com/office/word" w:val="12"/>
  </w:compat>
  <w:rsids>
    <w:rsidRoot w:val="004C521F"/>
    <w:rsid w:val="00012F9D"/>
    <w:rsid w:val="00152F72"/>
    <w:rsid w:val="002246B1"/>
    <w:rsid w:val="002271C1"/>
    <w:rsid w:val="002A4569"/>
    <w:rsid w:val="00306A02"/>
    <w:rsid w:val="003338A2"/>
    <w:rsid w:val="0039195C"/>
    <w:rsid w:val="003E0D46"/>
    <w:rsid w:val="003F5268"/>
    <w:rsid w:val="00474C5E"/>
    <w:rsid w:val="004C521F"/>
    <w:rsid w:val="00546275"/>
    <w:rsid w:val="00611B39"/>
    <w:rsid w:val="006D6F91"/>
    <w:rsid w:val="00712CFA"/>
    <w:rsid w:val="0071784A"/>
    <w:rsid w:val="00721826"/>
    <w:rsid w:val="007348FC"/>
    <w:rsid w:val="00742B42"/>
    <w:rsid w:val="007A5659"/>
    <w:rsid w:val="00824FCF"/>
    <w:rsid w:val="008F2C10"/>
    <w:rsid w:val="00907B4D"/>
    <w:rsid w:val="00921789"/>
    <w:rsid w:val="00B33E24"/>
    <w:rsid w:val="00C0481E"/>
    <w:rsid w:val="00C93A9D"/>
    <w:rsid w:val="00CC0729"/>
    <w:rsid w:val="00D53162"/>
    <w:rsid w:val="00E51CF4"/>
    <w:rsid w:val="00F25C7C"/>
    <w:rsid w:val="00FA4CC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B5A8"/>
  <w15:docId w15:val="{693DF629-9C23-4BDB-B790-13378C13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6F9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D6F91"/>
    <w:pPr>
      <w:numPr>
        <w:numId w:val="1"/>
      </w:numPr>
      <w:pBdr>
        <w:bottom w:val="single" w:sz="8" w:space="1" w:color="8496B0" w:themeColor="text2" w:themeTint="99"/>
      </w:pBdr>
      <w:spacing w:after="200" w:line="276" w:lineRule="auto"/>
      <w:jc w:val="center"/>
      <w:outlineLvl w:val="0"/>
    </w:pPr>
    <w:rPr>
      <w:rFonts w:ascii="Cambria" w:eastAsia="Calibri" w:hAnsi="Cambria"/>
      <w:b/>
      <w:bCs/>
      <w:sz w:val="28"/>
      <w:szCs w:val="28"/>
      <w:lang w:eastAsia="en-US"/>
    </w:rPr>
  </w:style>
  <w:style w:type="paragraph" w:styleId="Nadpis2">
    <w:name w:val="heading 2"/>
    <w:basedOn w:val="Normln"/>
    <w:next w:val="Normln"/>
    <w:link w:val="Nadpis2Char"/>
    <w:qFormat/>
    <w:rsid w:val="006D6F91"/>
    <w:pPr>
      <w:numPr>
        <w:ilvl w:val="1"/>
        <w:numId w:val="1"/>
      </w:numPr>
      <w:spacing w:after="200" w:line="276" w:lineRule="auto"/>
      <w:jc w:val="both"/>
      <w:outlineLvl w:val="1"/>
    </w:pPr>
    <w:rPr>
      <w:rFonts w:ascii="Cambria" w:eastAsia="Calibri" w:hAnsi="Cambria"/>
      <w:lang w:eastAsia="en-US"/>
    </w:rPr>
  </w:style>
  <w:style w:type="paragraph" w:styleId="Nadpis3">
    <w:name w:val="heading 3"/>
    <w:basedOn w:val="Nadpis2"/>
    <w:next w:val="Normln"/>
    <w:link w:val="Nadpis3Char"/>
    <w:qFormat/>
    <w:rsid w:val="006D6F91"/>
    <w:pPr>
      <w:numPr>
        <w:ilvl w:val="2"/>
      </w:numPr>
      <w:outlineLvl w:val="2"/>
    </w:pPr>
  </w:style>
  <w:style w:type="paragraph" w:styleId="Nadpis6">
    <w:name w:val="heading 6"/>
    <w:basedOn w:val="Normln"/>
    <w:next w:val="Normln"/>
    <w:link w:val="Nadpis6Char"/>
    <w:qFormat/>
    <w:rsid w:val="006D6F91"/>
    <w:pPr>
      <w:keepNext/>
      <w:keepLines/>
      <w:numPr>
        <w:ilvl w:val="5"/>
        <w:numId w:val="1"/>
      </w:numPr>
      <w:spacing w:before="200" w:line="276" w:lineRule="auto"/>
      <w:outlineLvl w:val="5"/>
    </w:pPr>
    <w:rPr>
      <w:rFonts w:ascii="Cambria" w:hAnsi="Cambria"/>
      <w:i/>
      <w:iCs/>
      <w:color w:val="243F60"/>
      <w:sz w:val="20"/>
      <w:szCs w:val="20"/>
      <w:lang w:eastAsia="en-US"/>
    </w:rPr>
  </w:style>
  <w:style w:type="paragraph" w:styleId="Nadpis7">
    <w:name w:val="heading 7"/>
    <w:basedOn w:val="Normln"/>
    <w:next w:val="Normln"/>
    <w:link w:val="Nadpis7Char"/>
    <w:uiPriority w:val="9"/>
    <w:qFormat/>
    <w:rsid w:val="006D6F91"/>
    <w:pPr>
      <w:keepNext/>
      <w:keepLines/>
      <w:numPr>
        <w:ilvl w:val="6"/>
        <w:numId w:val="1"/>
      </w:numPr>
      <w:spacing w:before="200" w:line="276" w:lineRule="auto"/>
      <w:outlineLvl w:val="6"/>
    </w:pPr>
    <w:rPr>
      <w:rFonts w:ascii="Cambria" w:hAnsi="Cambria"/>
      <w:i/>
      <w:iCs/>
      <w:color w:val="404040"/>
      <w:sz w:val="20"/>
      <w:szCs w:val="20"/>
      <w:lang w:eastAsia="en-US"/>
    </w:rPr>
  </w:style>
  <w:style w:type="paragraph" w:styleId="Nadpis8">
    <w:name w:val="heading 8"/>
    <w:basedOn w:val="Normln"/>
    <w:next w:val="Normln"/>
    <w:link w:val="Nadpis8Char"/>
    <w:uiPriority w:val="9"/>
    <w:qFormat/>
    <w:rsid w:val="006D6F91"/>
    <w:pPr>
      <w:keepNext/>
      <w:keepLines/>
      <w:numPr>
        <w:ilvl w:val="7"/>
        <w:numId w:val="1"/>
      </w:numPr>
      <w:spacing w:before="200" w:line="276" w:lineRule="auto"/>
      <w:outlineLvl w:val="7"/>
    </w:pPr>
    <w:rPr>
      <w:rFonts w:ascii="Cambria" w:hAnsi="Cambria"/>
      <w:color w:val="404040"/>
      <w:sz w:val="20"/>
      <w:szCs w:val="20"/>
      <w:lang w:eastAsia="en-US"/>
    </w:rPr>
  </w:style>
  <w:style w:type="paragraph" w:styleId="Nadpis9">
    <w:name w:val="heading 9"/>
    <w:basedOn w:val="Normln"/>
    <w:next w:val="Normln"/>
    <w:link w:val="Nadpis9Char"/>
    <w:uiPriority w:val="9"/>
    <w:qFormat/>
    <w:rsid w:val="006D6F91"/>
    <w:pPr>
      <w:keepNext/>
      <w:keepLines/>
      <w:numPr>
        <w:ilvl w:val="8"/>
        <w:numId w:val="1"/>
      </w:numPr>
      <w:spacing w:before="200" w:line="276" w:lineRule="auto"/>
      <w:outlineLvl w:val="8"/>
    </w:pPr>
    <w:rPr>
      <w:rFonts w:ascii="Cambria" w:hAnsi="Cambria"/>
      <w:i/>
      <w:iCs/>
      <w:color w:val="404040"/>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D6F91"/>
    <w:rPr>
      <w:rFonts w:ascii="Cambria" w:eastAsia="Calibri" w:hAnsi="Cambria" w:cs="Times New Roman"/>
      <w:b/>
      <w:bCs/>
      <w:sz w:val="28"/>
      <w:szCs w:val="28"/>
    </w:rPr>
  </w:style>
  <w:style w:type="character" w:customStyle="1" w:styleId="Nadpis2Char">
    <w:name w:val="Nadpis 2 Char"/>
    <w:basedOn w:val="Standardnpsmoodstavce"/>
    <w:link w:val="Nadpis2"/>
    <w:rsid w:val="006D6F91"/>
    <w:rPr>
      <w:rFonts w:ascii="Cambria" w:eastAsia="Calibri" w:hAnsi="Cambria" w:cs="Times New Roman"/>
      <w:sz w:val="24"/>
      <w:szCs w:val="24"/>
    </w:rPr>
  </w:style>
  <w:style w:type="character" w:customStyle="1" w:styleId="Nadpis3Char">
    <w:name w:val="Nadpis 3 Char"/>
    <w:basedOn w:val="Standardnpsmoodstavce"/>
    <w:link w:val="Nadpis3"/>
    <w:rsid w:val="006D6F91"/>
    <w:rPr>
      <w:rFonts w:ascii="Cambria" w:eastAsia="Calibri" w:hAnsi="Cambria" w:cs="Times New Roman"/>
      <w:sz w:val="24"/>
      <w:szCs w:val="24"/>
    </w:rPr>
  </w:style>
  <w:style w:type="character" w:customStyle="1" w:styleId="Nadpis6Char">
    <w:name w:val="Nadpis 6 Char"/>
    <w:basedOn w:val="Standardnpsmoodstavce"/>
    <w:link w:val="Nadpis6"/>
    <w:rsid w:val="006D6F91"/>
    <w:rPr>
      <w:rFonts w:ascii="Cambria" w:eastAsia="Times New Roman" w:hAnsi="Cambria" w:cs="Times New Roman"/>
      <w:i/>
      <w:iCs/>
      <w:color w:val="243F60"/>
      <w:sz w:val="20"/>
      <w:szCs w:val="20"/>
    </w:rPr>
  </w:style>
  <w:style w:type="character" w:customStyle="1" w:styleId="Nadpis7Char">
    <w:name w:val="Nadpis 7 Char"/>
    <w:basedOn w:val="Standardnpsmoodstavce"/>
    <w:link w:val="Nadpis7"/>
    <w:uiPriority w:val="9"/>
    <w:rsid w:val="006D6F91"/>
    <w:rPr>
      <w:rFonts w:ascii="Cambria" w:eastAsia="Times New Roman" w:hAnsi="Cambria" w:cs="Times New Roman"/>
      <w:i/>
      <w:iCs/>
      <w:color w:val="404040"/>
      <w:sz w:val="20"/>
      <w:szCs w:val="20"/>
    </w:rPr>
  </w:style>
  <w:style w:type="character" w:customStyle="1" w:styleId="Nadpis8Char">
    <w:name w:val="Nadpis 8 Char"/>
    <w:basedOn w:val="Standardnpsmoodstavce"/>
    <w:link w:val="Nadpis8"/>
    <w:uiPriority w:val="9"/>
    <w:rsid w:val="006D6F91"/>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rsid w:val="006D6F91"/>
    <w:rPr>
      <w:rFonts w:ascii="Cambria" w:eastAsia="Times New Roman" w:hAnsi="Cambria" w:cs="Times New Roman"/>
      <w:i/>
      <w:iCs/>
      <w:color w:val="404040"/>
      <w:sz w:val="20"/>
      <w:szCs w:val="20"/>
    </w:rPr>
  </w:style>
  <w:style w:type="paragraph" w:styleId="Zkladntext">
    <w:name w:val="Body Text"/>
    <w:basedOn w:val="Normln"/>
    <w:link w:val="ZkladntextChar"/>
    <w:uiPriority w:val="99"/>
    <w:semiHidden/>
    <w:rsid w:val="006D6F91"/>
    <w:pPr>
      <w:spacing w:after="120" w:line="276" w:lineRule="auto"/>
    </w:pPr>
    <w:rPr>
      <w:rFonts w:ascii="Calibri" w:eastAsia="Calibri" w:hAnsi="Calibri"/>
      <w:sz w:val="22"/>
      <w:szCs w:val="22"/>
      <w:lang w:eastAsia="en-US"/>
    </w:rPr>
  </w:style>
  <w:style w:type="character" w:customStyle="1" w:styleId="ZkladntextChar">
    <w:name w:val="Základní text Char"/>
    <w:basedOn w:val="Standardnpsmoodstavce"/>
    <w:link w:val="Zkladntext"/>
    <w:uiPriority w:val="99"/>
    <w:semiHidden/>
    <w:rsid w:val="006D6F91"/>
    <w:rPr>
      <w:rFonts w:ascii="Calibri" w:eastAsia="Calibri" w:hAnsi="Calibri" w:cs="Times New Roman"/>
    </w:rPr>
  </w:style>
  <w:style w:type="character" w:styleId="Hypertextovodkaz">
    <w:name w:val="Hyperlink"/>
    <w:basedOn w:val="Standardnpsmoodstavce"/>
    <w:uiPriority w:val="99"/>
    <w:rsid w:val="008F2C10"/>
    <w:rPr>
      <w:color w:val="0000FF"/>
      <w:u w:val="single"/>
    </w:rPr>
  </w:style>
  <w:style w:type="paragraph" w:styleId="Odstavecseseznamem">
    <w:name w:val="List Paragraph"/>
    <w:basedOn w:val="Normln"/>
    <w:uiPriority w:val="34"/>
    <w:qFormat/>
    <w:rsid w:val="008F2C10"/>
    <w:pPr>
      <w:ind w:left="720"/>
      <w:contextualSpacing/>
    </w:pPr>
  </w:style>
  <w:style w:type="paragraph" w:customStyle="1" w:styleId="Zkladntextslovan">
    <w:name w:val="Základní text číslovaný"/>
    <w:uiPriority w:val="99"/>
    <w:rsid w:val="003338A2"/>
    <w:pPr>
      <w:numPr>
        <w:numId w:val="14"/>
      </w:numPr>
      <w:tabs>
        <w:tab w:val="clear" w:pos="454"/>
      </w:tabs>
      <w:spacing w:after="120" w:line="240" w:lineRule="auto"/>
      <w:ind w:left="720" w:firstLine="0"/>
      <w:jc w:val="both"/>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712CFA"/>
    <w:rPr>
      <w:sz w:val="16"/>
      <w:szCs w:val="16"/>
    </w:rPr>
  </w:style>
  <w:style w:type="paragraph" w:styleId="Textkomente">
    <w:name w:val="annotation text"/>
    <w:basedOn w:val="Normln"/>
    <w:link w:val="TextkomenteChar"/>
    <w:uiPriority w:val="99"/>
    <w:semiHidden/>
    <w:unhideWhenUsed/>
    <w:rsid w:val="00712CFA"/>
    <w:rPr>
      <w:sz w:val="20"/>
      <w:szCs w:val="20"/>
    </w:rPr>
  </w:style>
  <w:style w:type="character" w:customStyle="1" w:styleId="TextkomenteChar">
    <w:name w:val="Text komentáře Char"/>
    <w:basedOn w:val="Standardnpsmoodstavce"/>
    <w:link w:val="Textkomente"/>
    <w:uiPriority w:val="99"/>
    <w:semiHidden/>
    <w:rsid w:val="00712C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12CFA"/>
    <w:rPr>
      <w:b/>
      <w:bCs/>
    </w:rPr>
  </w:style>
  <w:style w:type="character" w:customStyle="1" w:styleId="PedmtkomenteChar">
    <w:name w:val="Předmět komentáře Char"/>
    <w:basedOn w:val="TextkomenteChar"/>
    <w:link w:val="Pedmtkomente"/>
    <w:uiPriority w:val="99"/>
    <w:semiHidden/>
    <w:rsid w:val="00712CFA"/>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3365</Words>
  <Characters>19855</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Dvořáková</dc:creator>
  <cp:keywords/>
  <dc:description/>
  <cp:lastModifiedBy>Michaela Lacková</cp:lastModifiedBy>
  <cp:revision>21</cp:revision>
  <dcterms:created xsi:type="dcterms:W3CDTF">2022-08-04T10:55:00Z</dcterms:created>
  <dcterms:modified xsi:type="dcterms:W3CDTF">2025-04-15T12:34:00Z</dcterms:modified>
</cp:coreProperties>
</file>