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84FFE" w14:textId="7E4C2591" w:rsidR="00D14649" w:rsidRPr="00E871A0" w:rsidRDefault="00D14649" w:rsidP="00D14649">
      <w:pPr>
        <w:pStyle w:val="Zhlav"/>
        <w:jc w:val="right"/>
        <w:rPr>
          <w:rFonts w:ascii="Cambria" w:hAnsi="Cambria" w:cstheme="minorHAnsi"/>
          <w:sz w:val="22"/>
          <w:szCs w:val="22"/>
        </w:rPr>
      </w:pPr>
      <w:r w:rsidRPr="00E871A0">
        <w:rPr>
          <w:rFonts w:ascii="Cambria" w:hAnsi="Cambria" w:cstheme="minorHAnsi"/>
          <w:sz w:val="22"/>
          <w:szCs w:val="22"/>
        </w:rPr>
        <w:t>Příloha č. 6</w:t>
      </w:r>
      <w:r w:rsidR="00D925DB">
        <w:rPr>
          <w:rFonts w:ascii="Cambria" w:hAnsi="Cambria" w:cstheme="minorHAnsi"/>
          <w:sz w:val="22"/>
          <w:szCs w:val="22"/>
        </w:rPr>
        <w:t>I</w:t>
      </w:r>
      <w:r w:rsidRPr="00E871A0">
        <w:rPr>
          <w:rFonts w:ascii="Cambria" w:hAnsi="Cambria" w:cstheme="minorHAnsi"/>
          <w:sz w:val="22"/>
          <w:szCs w:val="22"/>
        </w:rPr>
        <w:t xml:space="preserve"> Zadávací dokumentace</w:t>
      </w:r>
    </w:p>
    <w:p w14:paraId="37D069D4" w14:textId="77777777" w:rsidR="00D14649" w:rsidRPr="00E871A0" w:rsidRDefault="00D14649" w:rsidP="00D14649">
      <w:pPr>
        <w:pStyle w:val="Zhlav"/>
        <w:jc w:val="right"/>
        <w:rPr>
          <w:rFonts w:ascii="Cambria" w:hAnsi="Cambria" w:cstheme="minorHAnsi"/>
          <w:sz w:val="22"/>
          <w:szCs w:val="22"/>
        </w:rPr>
      </w:pPr>
    </w:p>
    <w:p w14:paraId="20E62FD9" w14:textId="0FE8CF49" w:rsidR="00016259" w:rsidRPr="00E871A0" w:rsidRDefault="00461348" w:rsidP="00016259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E871A0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Cenová doložka</w:t>
      </w:r>
    </w:p>
    <w:p w14:paraId="3E6565A3" w14:textId="6CF80CFA" w:rsidR="00BC1344" w:rsidRPr="00E871A0" w:rsidRDefault="00BC1344" w:rsidP="00BC1344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t>Objednatel, vědom si situace související s vnějšími vlivy na vývoj tržního prostředí v oblasti stavební činnosti a ve snaze chovat se v této situaci odpovědně, nepřenášet rizika s ní spojená jen na dodavatele, ale rozdělit je mezi objednatele a zhotovitele, zahrnul do smlouvy o dílo mimo jiné ujednání o</w:t>
      </w:r>
      <w:r w:rsidR="008C56D9" w:rsidRPr="00E871A0">
        <w:rPr>
          <w:rFonts w:ascii="Cambria" w:hAnsi="Cambria" w:cstheme="minorHAnsi"/>
          <w:color w:val="000000" w:themeColor="text1"/>
          <w:sz w:val="22"/>
          <w:szCs w:val="22"/>
        </w:rPr>
        <w:t> 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vyhrazené změně závazku. Tato změna se zabývá tvorbou konečné ceny za dílo ve vztahu ke zvýšení nebo snížení cen materiálních, personálních či jiných vstupů potřebných pro provedení díla. </w:t>
      </w:r>
    </w:p>
    <w:p w14:paraId="52F8E698" w14:textId="77777777" w:rsidR="00BC1344" w:rsidRPr="00E871A0" w:rsidRDefault="00BC1344" w:rsidP="00BC1344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t>V zadávacím řízení objednatel konstatoval, že při stanovení nabídkové ceny dodavatel bude pracovat s předpokladem pohybu cen stavebních prací v intervalu -3% až 3% po celou dobu trvání provádění díla a tento pohyb zahrne do nabídkové ceny.</w:t>
      </w:r>
    </w:p>
    <w:p w14:paraId="21F7B5FC" w14:textId="77A16CEC" w:rsidR="00C4767A" w:rsidRPr="00E871A0" w:rsidRDefault="00BC1344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Cena díla bude na základě samostatného vyúčtování zhotovitele upravena tak, že se přičtou nebo odečtou částky určené výpočty zapracované do výpočtové tabulky uvedené níže. Tato úprava ceny díla se </w:t>
      </w:r>
      <w:r w:rsidR="00E66C7A" w:rsidRPr="00E871A0">
        <w:rPr>
          <w:rFonts w:ascii="Cambria" w:hAnsi="Cambria" w:cstheme="minorHAnsi"/>
          <w:color w:val="000000" w:themeColor="text1"/>
          <w:sz w:val="22"/>
          <w:szCs w:val="22"/>
        </w:rPr>
        <w:t>ne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použije </w:t>
      </w:r>
      <w:r w:rsidR="003119B8" w:rsidRPr="00E871A0">
        <w:rPr>
          <w:rFonts w:ascii="Cambria" w:hAnsi="Cambria" w:cstheme="minorHAnsi"/>
          <w:color w:val="000000" w:themeColor="text1"/>
          <w:sz w:val="22"/>
          <w:szCs w:val="22"/>
        </w:rPr>
        <w:t>na M</w:t>
      </w:r>
      <w:r w:rsidR="00B74E7F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ilníky č. </w:t>
      </w:r>
      <w:r w:rsidR="003119B8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1 – </w:t>
      </w:r>
      <w:r w:rsidR="005D1EB3" w:rsidRPr="00E871A0">
        <w:rPr>
          <w:rFonts w:ascii="Cambria" w:hAnsi="Cambria" w:cstheme="minorHAnsi"/>
          <w:color w:val="000000" w:themeColor="text1"/>
          <w:sz w:val="22"/>
          <w:szCs w:val="22"/>
        </w:rPr>
        <w:t>3 a 5.</w:t>
      </w:r>
    </w:p>
    <w:p w14:paraId="765C602A" w14:textId="72A64529" w:rsidR="002C7884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Úprava ceny díla vypočtená postupem podle </w:t>
      </w:r>
      <w:r w:rsidR="000D50DF" w:rsidRPr="00E871A0">
        <w:rPr>
          <w:rFonts w:ascii="Cambria" w:hAnsi="Cambria" w:cstheme="minorHAnsi"/>
          <w:color w:val="000000" w:themeColor="text1"/>
          <w:sz w:val="22"/>
          <w:szCs w:val="22"/>
        </w:rPr>
        <w:t>tohoto mechanismu valorizace ceny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se rovná součinu úhrnů hodnot faktur </w:t>
      </w:r>
      <w:r w:rsidR="00BC1344" w:rsidRPr="00E871A0">
        <w:rPr>
          <w:rFonts w:ascii="Cambria" w:hAnsi="Cambria" w:cstheme="minorHAnsi"/>
          <w:color w:val="000000" w:themeColor="text1"/>
          <w:sz w:val="22"/>
          <w:szCs w:val="22"/>
        </w:rPr>
        <w:t>za milníky dokončené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v příslušném čtvrtletí a násobitele úpravy, stanoveného dle</w:t>
      </w:r>
      <w:r w:rsidR="008C56D9" w:rsidRPr="00E871A0">
        <w:rPr>
          <w:rFonts w:ascii="Cambria" w:hAnsi="Cambria" w:cstheme="minorHAnsi"/>
          <w:color w:val="000000" w:themeColor="text1"/>
          <w:sz w:val="22"/>
          <w:szCs w:val="22"/>
        </w:rPr>
        <w:t> 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>„Indexu cen stavebních děl podle klasifikace CZ-CC“ vyhlašovaného Českým statistickým úřadem pro</w:t>
      </w:r>
      <w:r w:rsidR="00272D67" w:rsidRPr="00E871A0">
        <w:rPr>
          <w:rFonts w:ascii="Cambria" w:hAnsi="Cambria" w:cstheme="minorHAnsi"/>
          <w:color w:val="000000" w:themeColor="text1"/>
          <w:sz w:val="22"/>
          <w:szCs w:val="22"/>
        </w:rPr>
        <w:t> 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kalendářní čtvrtletí, do kterého </w:t>
      </w:r>
      <w:r w:rsidR="00BC1344" w:rsidRPr="00E871A0">
        <w:rPr>
          <w:rFonts w:ascii="Cambria" w:hAnsi="Cambria" w:cstheme="minorHAnsi"/>
          <w:color w:val="000000" w:themeColor="text1"/>
          <w:sz w:val="22"/>
          <w:szCs w:val="22"/>
        </w:rPr>
        <w:t>dokončení milníku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spadá.</w:t>
      </w:r>
      <w:r w:rsidR="005311FB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</w:p>
    <w:p w14:paraId="14358AEE" w14:textId="0368921F" w:rsidR="00016259" w:rsidRPr="00E871A0" w:rsidRDefault="005311FB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Pro faktury vystavené </w:t>
      </w:r>
      <w:r w:rsidR="00BC1344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za dokončení milníků 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v posledním </w:t>
      </w:r>
      <w:r w:rsidR="00910B0C" w:rsidRPr="00E871A0">
        <w:rPr>
          <w:rFonts w:ascii="Cambria" w:hAnsi="Cambria" w:cstheme="minorHAnsi"/>
          <w:color w:val="000000" w:themeColor="text1"/>
          <w:sz w:val="22"/>
          <w:szCs w:val="22"/>
        </w:rPr>
        <w:t>kale</w:t>
      </w:r>
      <w:r w:rsidR="00443D84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ndářním 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čtvrtletí </w:t>
      </w:r>
      <w:r w:rsidR="00D86951" w:rsidRPr="00E871A0">
        <w:rPr>
          <w:rFonts w:ascii="Cambria" w:hAnsi="Cambria" w:cstheme="minorHAnsi"/>
          <w:color w:val="000000" w:themeColor="text1"/>
          <w:sz w:val="22"/>
          <w:szCs w:val="22"/>
        </w:rPr>
        <w:t>realizace výstavby</w:t>
      </w:r>
      <w:r w:rsidR="0092750E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platí, </w:t>
      </w:r>
      <w:r w:rsidR="00957D6C" w:rsidRPr="00E871A0">
        <w:rPr>
          <w:rFonts w:ascii="Cambria" w:hAnsi="Cambria" w:cstheme="minorHAnsi"/>
          <w:color w:val="000000" w:themeColor="text1"/>
          <w:sz w:val="22"/>
          <w:szCs w:val="22"/>
        </w:rPr>
        <w:t>že úprava ceny díla vypočtená postupem podle tohoto mechanismu valorizace ceny se rovná součinu úhrnů</w:t>
      </w:r>
      <w:r w:rsidR="005119B7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hodnot faktur vystavených </w:t>
      </w:r>
      <w:r w:rsidR="00BC1344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za dokončení milníků </w:t>
      </w:r>
      <w:r w:rsidR="005119B7" w:rsidRPr="00E871A0">
        <w:rPr>
          <w:rFonts w:ascii="Cambria" w:hAnsi="Cambria" w:cstheme="minorHAnsi"/>
          <w:color w:val="000000" w:themeColor="text1"/>
          <w:sz w:val="22"/>
          <w:szCs w:val="22"/>
        </w:rPr>
        <w:t>v </w:t>
      </w:r>
      <w:r w:rsidR="00533839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tomto </w:t>
      </w:r>
      <w:r w:rsidR="005119B7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čtvrtletí a násobitele úpravy, </w:t>
      </w:r>
      <w:r w:rsidR="002C7884" w:rsidRPr="00E871A0">
        <w:rPr>
          <w:rFonts w:ascii="Cambria" w:hAnsi="Cambria" w:cstheme="minorHAnsi"/>
          <w:color w:val="000000" w:themeColor="text1"/>
          <w:sz w:val="22"/>
          <w:szCs w:val="22"/>
        </w:rPr>
        <w:t>stanoveného dle „Indexu cen stavebních děl podle klasifikace CZ-CC“ vyhlašovaného Českým statistickým úřadem pro</w:t>
      </w:r>
      <w:r w:rsidR="00ED0404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901F07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bezprostředně předcházející </w:t>
      </w:r>
      <w:r w:rsidR="00E73B49" w:rsidRPr="00E871A0">
        <w:rPr>
          <w:rFonts w:ascii="Cambria" w:hAnsi="Cambria" w:cstheme="minorHAnsi"/>
          <w:color w:val="000000" w:themeColor="text1"/>
          <w:sz w:val="22"/>
          <w:szCs w:val="22"/>
        </w:rPr>
        <w:t>kalendářní</w:t>
      </w:r>
      <w:r w:rsidR="00ED0404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čtvrtletí.</w:t>
      </w:r>
    </w:p>
    <w:p w14:paraId="651F86FA" w14:textId="0F42F9D6" w:rsidR="00016259" w:rsidRPr="00E871A0" w:rsidRDefault="00016259" w:rsidP="2258EE41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Bidi"/>
          <w:color w:val="000000" w:themeColor="text1"/>
          <w:sz w:val="22"/>
          <w:szCs w:val="22"/>
        </w:rPr>
        <w:t>Jako index</w:t>
      </w:r>
      <w:r w:rsidRPr="00E871A0">
        <w:rPr>
          <w:rFonts w:ascii="Cambria" w:hAnsi="Cambria" w:cstheme="minorBidi"/>
          <w:sz w:val="22"/>
          <w:szCs w:val="22"/>
        </w:rPr>
        <w:t xml:space="preserve"> </w:t>
      </w:r>
      <w:r w:rsidRPr="00E871A0">
        <w:rPr>
          <w:rFonts w:ascii="Cambria" w:hAnsi="Cambria" w:cstheme="minorBidi"/>
          <w:color w:val="000000" w:themeColor="text1"/>
          <w:sz w:val="22"/>
          <w:szCs w:val="22"/>
        </w:rPr>
        <w:t xml:space="preserve">cen stavebních děl bude v rámci klasifikace CZ-CC využíván index pro 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kód </w:t>
      </w:r>
      <w:bookmarkStart w:id="0" w:name="_GoBack"/>
      <w:r w:rsidR="2B7FED2C" w:rsidRPr="00D925DB">
        <w:rPr>
          <w:rFonts w:ascii="Cambria" w:eastAsia="Segoe UI" w:hAnsi="Cambria" w:cstheme="minorHAnsi"/>
          <w:sz w:val="22"/>
          <w:szCs w:val="22"/>
        </w:rPr>
        <w:t>12</w:t>
      </w:r>
      <w:r w:rsidR="005D1EB3" w:rsidRPr="00D925DB">
        <w:rPr>
          <w:rFonts w:ascii="Cambria" w:eastAsia="Segoe UI" w:hAnsi="Cambria" w:cstheme="minorHAnsi"/>
          <w:sz w:val="22"/>
          <w:szCs w:val="22"/>
        </w:rPr>
        <w:t>6311</w:t>
      </w:r>
      <w:r w:rsidRPr="00D925DB">
        <w:rPr>
          <w:rFonts w:ascii="Cambria" w:hAnsi="Cambria" w:cstheme="minorHAnsi"/>
          <w:sz w:val="22"/>
          <w:szCs w:val="22"/>
        </w:rPr>
        <w:t xml:space="preserve"> </w:t>
      </w:r>
      <w:r w:rsidR="00355EAA" w:rsidRPr="00D925DB">
        <w:rPr>
          <w:rFonts w:ascii="Cambria" w:hAnsi="Cambria" w:cstheme="minorHAnsi"/>
          <w:sz w:val="22"/>
          <w:szCs w:val="22"/>
        </w:rPr>
        <w:t>–</w:t>
      </w:r>
      <w:r w:rsidRPr="00D925DB">
        <w:rPr>
          <w:rFonts w:ascii="Cambria" w:hAnsi="Cambria" w:cstheme="minorHAnsi"/>
          <w:sz w:val="22"/>
          <w:szCs w:val="22"/>
        </w:rPr>
        <w:t xml:space="preserve"> </w:t>
      </w:r>
      <w:r w:rsidR="000D53AE" w:rsidRPr="00D925DB">
        <w:rPr>
          <w:rFonts w:ascii="Cambria" w:hAnsi="Cambria" w:cstheme="minorHAnsi"/>
          <w:sz w:val="22"/>
          <w:szCs w:val="22"/>
        </w:rPr>
        <w:t xml:space="preserve">Budovy </w:t>
      </w:r>
      <w:r w:rsidR="005D1EB3" w:rsidRPr="00D925DB">
        <w:rPr>
          <w:rFonts w:ascii="Cambria" w:hAnsi="Cambria" w:cstheme="minorHAnsi"/>
          <w:sz w:val="22"/>
          <w:szCs w:val="22"/>
        </w:rPr>
        <w:t>škol a univerzit.</w:t>
      </w:r>
      <w:bookmarkEnd w:id="0"/>
    </w:p>
    <w:p w14:paraId="058A1FB5" w14:textId="77777777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i/>
          <w:iCs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Za hodnotu 100 % bude použit index uvedený pro čtvrtletí, ve kterém byla podána nabídka. </w:t>
      </w:r>
    </w:p>
    <w:p w14:paraId="1EEF1209" w14:textId="77777777" w:rsidR="00016259" w:rsidRPr="00E871A0" w:rsidRDefault="00016259" w:rsidP="00016259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5493AE59" w14:textId="77777777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  <w:u w:val="single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  <w:u w:val="single"/>
        </w:rPr>
        <w:t>Částka, která má být přičtena nebo odečtena v důsledku změn nákladů za příslušné kalendářní čtvrtletí, se vypočte podle vzorce:</w:t>
      </w:r>
    </w:p>
    <w:p w14:paraId="40946652" w14:textId="77777777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proofErr w:type="spellStart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UCn</w:t>
      </w:r>
      <w:proofErr w:type="spellEnd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= </w:t>
      </w:r>
      <w:proofErr w:type="spellStart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Fnz</w:t>
      </w:r>
      <w:proofErr w:type="spellEnd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* </w:t>
      </w:r>
      <w:proofErr w:type="spellStart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Nn</w:t>
      </w:r>
      <w:proofErr w:type="spellEnd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</w:p>
    <w:p w14:paraId="18263766" w14:textId="77777777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t>s tím, že</w:t>
      </w:r>
    </w:p>
    <w:p w14:paraId="0D281535" w14:textId="77777777" w:rsidR="00016259" w:rsidRPr="00E871A0" w:rsidRDefault="00016259" w:rsidP="00C076DF">
      <w:pPr>
        <w:tabs>
          <w:tab w:val="left" w:pos="284"/>
        </w:tabs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t>výpočet hodnoty násobitele úpravy za příslušné kalendářní čtvrtletí bude proveden podle vzorce:</w:t>
      </w:r>
    </w:p>
    <w:p w14:paraId="510DB97B" w14:textId="20688632" w:rsidR="006631B8" w:rsidRPr="00E871A0" w:rsidRDefault="00664EFA" w:rsidP="00C076DF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pokud </w:t>
      </w:r>
      <w:proofErr w:type="spellStart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INFn</w:t>
      </w:r>
      <w:proofErr w:type="spellEnd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&gt; 0</w:t>
      </w:r>
    </w:p>
    <w:p w14:paraId="55C23ADD" w14:textId="5EFBB1A4" w:rsidR="00016259" w:rsidRPr="00E871A0" w:rsidRDefault="00016259" w:rsidP="00C076DF">
      <w:pPr>
        <w:pStyle w:val="Odstavecseseznamem"/>
        <w:tabs>
          <w:tab w:val="left" w:pos="284"/>
        </w:tabs>
        <w:autoSpaceDE w:val="0"/>
        <w:autoSpaceDN w:val="0"/>
        <w:adjustRightInd w:val="0"/>
        <w:spacing w:after="120" w:line="312" w:lineRule="auto"/>
        <w:ind w:left="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proofErr w:type="spellStart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Nn</w:t>
      </w:r>
      <w:proofErr w:type="spellEnd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= (</w:t>
      </w:r>
      <w:proofErr w:type="spellStart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INFn</w:t>
      </w:r>
      <w:proofErr w:type="spellEnd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/100-0,03)/2</w:t>
      </w:r>
    </w:p>
    <w:p w14:paraId="78DABB03" w14:textId="77777777" w:rsidR="00C076DF" w:rsidRPr="00E871A0" w:rsidRDefault="00C076DF" w:rsidP="00C076DF">
      <w:pPr>
        <w:pStyle w:val="Odstavecseseznamem"/>
        <w:tabs>
          <w:tab w:val="left" w:pos="284"/>
        </w:tabs>
        <w:autoSpaceDE w:val="0"/>
        <w:autoSpaceDN w:val="0"/>
        <w:adjustRightInd w:val="0"/>
        <w:spacing w:after="120" w:line="312" w:lineRule="auto"/>
        <w:ind w:left="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3FA3D51B" w14:textId="77656A69" w:rsidR="00C076DF" w:rsidRPr="00E871A0" w:rsidRDefault="00C076DF" w:rsidP="00C076DF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pokud </w:t>
      </w:r>
      <w:proofErr w:type="spellStart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INFn</w:t>
      </w:r>
      <w:proofErr w:type="spellEnd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&lt; 0</w:t>
      </w:r>
    </w:p>
    <w:p w14:paraId="65D1ADD4" w14:textId="52B0E3C7" w:rsidR="00C076DF" w:rsidRPr="00E871A0" w:rsidRDefault="00C076DF" w:rsidP="00C076DF">
      <w:pPr>
        <w:pStyle w:val="Odstavecseseznamem"/>
        <w:tabs>
          <w:tab w:val="left" w:pos="284"/>
        </w:tabs>
        <w:autoSpaceDE w:val="0"/>
        <w:autoSpaceDN w:val="0"/>
        <w:adjustRightInd w:val="0"/>
        <w:spacing w:after="120" w:line="312" w:lineRule="auto"/>
        <w:ind w:left="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proofErr w:type="spellStart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Nn</w:t>
      </w:r>
      <w:proofErr w:type="spellEnd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= (</w:t>
      </w:r>
      <w:proofErr w:type="spellStart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INFn</w:t>
      </w:r>
      <w:proofErr w:type="spellEnd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/100+0,03)/2</w:t>
      </w:r>
    </w:p>
    <w:p w14:paraId="17591B5C" w14:textId="77777777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lastRenderedPageBreak/>
        <w:t>kde:</w:t>
      </w:r>
    </w:p>
    <w:p w14:paraId="4B291750" w14:textId="77777777" w:rsidR="008051E5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proofErr w:type="spellStart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INFn</w:t>
      </w:r>
      <w:proofErr w:type="spellEnd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= (100*Lin/</w:t>
      </w:r>
      <w:proofErr w:type="spellStart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Lio</w:t>
      </w:r>
      <w:proofErr w:type="spellEnd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)-100</w:t>
      </w:r>
    </w:p>
    <w:p w14:paraId="507B618D" w14:textId="50D1796A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„n“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je příslušné kalendářní čtvrtletí, pro které je vypočítávána úprava ceny díla</w:t>
      </w:r>
      <w:r w:rsidR="00145DB9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; </w:t>
      </w:r>
    </w:p>
    <w:p w14:paraId="285A42DA" w14:textId="5546EDA7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„</w:t>
      </w:r>
      <w:proofErr w:type="spellStart"/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Nn</w:t>
      </w:r>
      <w:proofErr w:type="spellEnd"/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“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je násobitel úpravy pro kalendářní čtvrtletí „n“, za které je vypočítávána úprava částek pro všechny faktury podléhající úpravě podle </w:t>
      </w:r>
      <w:r w:rsidR="00385AD9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tohoto </w:t>
      </w:r>
      <w:r w:rsidR="00385AD9" w:rsidRPr="00E871A0">
        <w:rPr>
          <w:rFonts w:ascii="Cambria" w:hAnsi="Cambria" w:cstheme="minorHAnsi"/>
          <w:sz w:val="22"/>
          <w:szCs w:val="22"/>
        </w:rPr>
        <w:t>mechanismu valorizace ceny</w:t>
      </w:r>
    </w:p>
    <w:p w14:paraId="29C37CDD" w14:textId="77777777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„</w:t>
      </w:r>
      <w:proofErr w:type="spellStart"/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UCn</w:t>
      </w:r>
      <w:proofErr w:type="spellEnd"/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“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je částka, která má být přičtena nebo odečtena v důsledku změn nákladů za kalendářní čtvrtletí „n“</w:t>
      </w:r>
    </w:p>
    <w:p w14:paraId="4B99F1B1" w14:textId="07D7A6B4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sz w:val="22"/>
          <w:szCs w:val="22"/>
        </w:rPr>
      </w:pPr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„</w:t>
      </w:r>
      <w:proofErr w:type="spellStart"/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Fnz</w:t>
      </w:r>
      <w:proofErr w:type="spellEnd"/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“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je součet v příslušném kalendářním čtvrtletí „n“ zhotovitelem vyfakturovaných částek podléhající úpravě podle </w:t>
      </w:r>
      <w:r w:rsidR="00320AEC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tohoto </w:t>
      </w:r>
      <w:r w:rsidR="00320AEC" w:rsidRPr="00E871A0">
        <w:rPr>
          <w:rFonts w:ascii="Cambria" w:hAnsi="Cambria" w:cstheme="minorHAnsi"/>
          <w:sz w:val="22"/>
          <w:szCs w:val="22"/>
        </w:rPr>
        <w:t>mechanismu valorizace ceny</w:t>
      </w:r>
    </w:p>
    <w:p w14:paraId="6BD9F11C" w14:textId="77777777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„</w:t>
      </w:r>
      <w:proofErr w:type="spellStart"/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Li</w:t>
      </w:r>
      <w:proofErr w:type="spellEnd"/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“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je index cen stavebních děl pro příslušné kalendářní čtvrtletí, za které je vypočítávána úprava částek (od „o“ do „n“)</w:t>
      </w:r>
    </w:p>
    <w:p w14:paraId="2303A8E6" w14:textId="77777777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b/>
          <w:color w:val="000000" w:themeColor="text1"/>
          <w:sz w:val="22"/>
          <w:szCs w:val="22"/>
        </w:rPr>
        <w:t>„o“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je kalendářní čtvrtletí, do nějž spadá podání nabídky</w:t>
      </w:r>
    </w:p>
    <w:p w14:paraId="5E733E6B" w14:textId="76F198D2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Žádná úprava nebude použita za kalendářní čtvrtletí, v němž bude </w:t>
      </w:r>
      <w:bookmarkStart w:id="1" w:name="_Hlk98752044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>Inflační nárůst v intervalu -3</w:t>
      </w:r>
      <w:r w:rsidR="006E7DD0"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>% až 3</w:t>
      </w:r>
      <w:r w:rsidR="006E7DD0" w:rsidRPr="00E871A0">
        <w:rPr>
          <w:rFonts w:ascii="Cambria" w:hAnsi="Cambria" w:cstheme="minorHAnsi"/>
          <w:color w:val="000000" w:themeColor="text1"/>
          <w:sz w:val="22"/>
          <w:szCs w:val="22"/>
        </w:rPr>
        <w:t> </w:t>
      </w:r>
      <w:r w:rsidRPr="00E871A0">
        <w:rPr>
          <w:rFonts w:ascii="Cambria" w:hAnsi="Cambria" w:cstheme="minorHAnsi"/>
          <w:color w:val="000000" w:themeColor="text1"/>
          <w:sz w:val="22"/>
          <w:szCs w:val="22"/>
        </w:rPr>
        <w:t>% včetně</w:t>
      </w:r>
      <w:bookmarkEnd w:id="1"/>
      <w:r w:rsidRPr="00E871A0">
        <w:rPr>
          <w:rFonts w:ascii="Cambria" w:hAnsi="Cambria" w:cstheme="minorHAnsi"/>
          <w:color w:val="000000" w:themeColor="text1"/>
          <w:sz w:val="22"/>
          <w:szCs w:val="22"/>
        </w:rPr>
        <w:t xml:space="preserve"> (se zaokrouhlením na 4 desetinná místa).</w:t>
      </w:r>
    </w:p>
    <w:p w14:paraId="3CE539F2" w14:textId="2C2CC0FE" w:rsidR="00BC1344" w:rsidRPr="00E871A0" w:rsidRDefault="00BC1344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sz w:val="22"/>
          <w:szCs w:val="22"/>
        </w:rPr>
      </w:pPr>
      <w:r w:rsidRPr="00E871A0">
        <w:rPr>
          <w:rFonts w:ascii="Cambria" w:hAnsi="Cambria" w:cstheme="minorHAnsi"/>
          <w:sz w:val="22"/>
          <w:szCs w:val="22"/>
        </w:rPr>
        <w:t xml:space="preserve">Zhotovitel musí předložit samostatné vyúčtování úpravy ceny díla </w:t>
      </w:r>
      <w:r w:rsidR="0092144B" w:rsidRPr="00E871A0">
        <w:rPr>
          <w:rFonts w:ascii="Cambria" w:hAnsi="Cambria" w:cstheme="minorHAnsi"/>
          <w:sz w:val="22"/>
          <w:szCs w:val="22"/>
        </w:rPr>
        <w:t>Správci stavby</w:t>
      </w:r>
      <w:r w:rsidR="00272D67" w:rsidRPr="00E871A0">
        <w:rPr>
          <w:rFonts w:ascii="Cambria" w:hAnsi="Cambria" w:cstheme="minorHAnsi"/>
          <w:sz w:val="22"/>
          <w:szCs w:val="22"/>
        </w:rPr>
        <w:t xml:space="preserve"> a</w:t>
      </w:r>
      <w:r w:rsidR="0092144B" w:rsidRPr="00E871A0">
        <w:rPr>
          <w:rFonts w:ascii="Cambria" w:hAnsi="Cambria" w:cstheme="minorHAnsi"/>
          <w:sz w:val="22"/>
          <w:szCs w:val="22"/>
        </w:rPr>
        <w:t xml:space="preserve"> Objednatel</w:t>
      </w:r>
      <w:r w:rsidR="00272D67" w:rsidRPr="00E871A0">
        <w:rPr>
          <w:rFonts w:ascii="Cambria" w:hAnsi="Cambria" w:cstheme="minorHAnsi"/>
          <w:sz w:val="22"/>
          <w:szCs w:val="22"/>
        </w:rPr>
        <w:t>i</w:t>
      </w:r>
      <w:r w:rsidR="0092144B" w:rsidRPr="00E871A0">
        <w:rPr>
          <w:rFonts w:ascii="Cambria" w:hAnsi="Cambria" w:cstheme="minorHAnsi"/>
          <w:sz w:val="22"/>
          <w:szCs w:val="22"/>
        </w:rPr>
        <w:t xml:space="preserve"> </w:t>
      </w:r>
      <w:r w:rsidRPr="00E871A0">
        <w:rPr>
          <w:rFonts w:ascii="Cambria" w:hAnsi="Cambria" w:cstheme="minorHAnsi"/>
          <w:sz w:val="22"/>
          <w:szCs w:val="22"/>
        </w:rPr>
        <w:t xml:space="preserve">vždy nejpozději do 2 měsíců od ukončení kalendářního čtvrtletí, ve kterém byly dokončeny příslušné milníky (například do konce května </w:t>
      </w:r>
      <w:r w:rsidR="00461348" w:rsidRPr="00E871A0">
        <w:rPr>
          <w:rFonts w:ascii="Cambria" w:hAnsi="Cambria" w:cstheme="minorHAnsi"/>
          <w:sz w:val="22"/>
          <w:szCs w:val="22"/>
        </w:rPr>
        <w:t>u milníků dokončených v</w:t>
      </w:r>
      <w:r w:rsidRPr="00E871A0">
        <w:rPr>
          <w:rFonts w:ascii="Cambria" w:hAnsi="Cambria" w:cstheme="minorHAnsi"/>
          <w:sz w:val="22"/>
          <w:szCs w:val="22"/>
        </w:rPr>
        <w:t xml:space="preserve"> první</w:t>
      </w:r>
      <w:r w:rsidR="00461348" w:rsidRPr="00E871A0">
        <w:rPr>
          <w:rFonts w:ascii="Cambria" w:hAnsi="Cambria" w:cstheme="minorHAnsi"/>
          <w:sz w:val="22"/>
          <w:szCs w:val="22"/>
        </w:rPr>
        <w:t>m</w:t>
      </w:r>
      <w:r w:rsidRPr="00E871A0">
        <w:rPr>
          <w:rFonts w:ascii="Cambria" w:hAnsi="Cambria" w:cstheme="minorHAnsi"/>
          <w:sz w:val="22"/>
          <w:szCs w:val="22"/>
        </w:rPr>
        <w:t xml:space="preserve"> čtvrtletí téhož roku). Toto vyúčtování bude vyčíslovat částku, která má být přičtena nebo odečtena v důsledku změny nákladů. Zástupce </w:t>
      </w:r>
      <w:r w:rsidR="00461348" w:rsidRPr="00E871A0">
        <w:rPr>
          <w:rFonts w:ascii="Cambria" w:hAnsi="Cambria" w:cstheme="minorHAnsi"/>
          <w:sz w:val="22"/>
          <w:szCs w:val="22"/>
        </w:rPr>
        <w:t>O</w:t>
      </w:r>
      <w:r w:rsidRPr="00E871A0">
        <w:rPr>
          <w:rFonts w:ascii="Cambria" w:hAnsi="Cambria" w:cstheme="minorHAnsi"/>
          <w:sz w:val="22"/>
          <w:szCs w:val="22"/>
        </w:rPr>
        <w:t xml:space="preserve">bjednatele je oprávněn za objednatele schválit vyúčtování, pokud při jeho výpočtu bylo postupováno podle vzorců uvedených v tabulce uvedené níže, a pokud celkový nárůst takto vypočtený nepřekročí </w:t>
      </w:r>
      <w:r w:rsidR="00AE1785">
        <w:rPr>
          <w:rFonts w:ascii="Cambria" w:hAnsi="Cambria" w:cstheme="minorHAnsi"/>
          <w:sz w:val="22"/>
          <w:szCs w:val="22"/>
        </w:rPr>
        <w:t>3</w:t>
      </w:r>
      <w:r w:rsidR="008C56D9" w:rsidRPr="00E871A0">
        <w:rPr>
          <w:rFonts w:ascii="Cambria" w:hAnsi="Cambria" w:cstheme="minorHAnsi"/>
          <w:sz w:val="22"/>
          <w:szCs w:val="22"/>
        </w:rPr>
        <w:t> </w:t>
      </w:r>
      <w:r w:rsidR="00AE1785">
        <w:rPr>
          <w:rFonts w:ascii="Cambria" w:hAnsi="Cambria" w:cstheme="minorHAnsi"/>
          <w:sz w:val="22"/>
          <w:szCs w:val="22"/>
        </w:rPr>
        <w:t>411</w:t>
      </w:r>
      <w:r w:rsidR="00B3035F" w:rsidRPr="00E871A0">
        <w:rPr>
          <w:rFonts w:ascii="Cambria" w:hAnsi="Cambria" w:cstheme="minorHAnsi"/>
          <w:sz w:val="22"/>
          <w:szCs w:val="22"/>
        </w:rPr>
        <w:t xml:space="preserve"> 000,</w:t>
      </w:r>
      <w:r w:rsidR="00825AE1" w:rsidRPr="00E871A0">
        <w:rPr>
          <w:rFonts w:ascii="Cambria" w:hAnsi="Cambria" w:cstheme="minorHAnsi"/>
          <w:sz w:val="22"/>
          <w:szCs w:val="22"/>
        </w:rPr>
        <w:t xml:space="preserve"> -</w:t>
      </w:r>
      <w:r w:rsidR="00B3035F" w:rsidRPr="00E871A0">
        <w:rPr>
          <w:rFonts w:ascii="Cambria" w:hAnsi="Cambria" w:cstheme="minorHAnsi"/>
          <w:sz w:val="22"/>
          <w:szCs w:val="22"/>
        </w:rPr>
        <w:t xml:space="preserve"> </w:t>
      </w:r>
      <w:r w:rsidRPr="00E871A0">
        <w:rPr>
          <w:rFonts w:ascii="Cambria" w:hAnsi="Cambria" w:cstheme="minorHAnsi"/>
          <w:sz w:val="22"/>
          <w:szCs w:val="22"/>
        </w:rPr>
        <w:t>Kč bez DPH.</w:t>
      </w:r>
    </w:p>
    <w:p w14:paraId="424D93F9" w14:textId="1DA5FB7F" w:rsidR="00BC1344" w:rsidRPr="00E871A0" w:rsidRDefault="00DF1E9A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sz w:val="22"/>
          <w:szCs w:val="22"/>
        </w:rPr>
      </w:pPr>
      <w:r w:rsidRPr="00E871A0">
        <w:rPr>
          <w:rFonts w:ascii="Cambria" w:hAnsi="Cambria" w:cstheme="minorHAnsi"/>
          <w:sz w:val="22"/>
          <w:szCs w:val="22"/>
        </w:rPr>
        <w:t xml:space="preserve">Po vyčerpání uvedeného limitu může být zvýšení ceny díla sjednáno pouze ve formě písemného dodatku ke </w:t>
      </w:r>
      <w:r w:rsidR="00CC42D6" w:rsidRPr="00E871A0">
        <w:rPr>
          <w:rFonts w:ascii="Cambria" w:hAnsi="Cambria" w:cstheme="minorHAnsi"/>
          <w:sz w:val="22"/>
          <w:szCs w:val="22"/>
        </w:rPr>
        <w:t>S</w:t>
      </w:r>
      <w:r w:rsidRPr="00E871A0">
        <w:rPr>
          <w:rFonts w:ascii="Cambria" w:hAnsi="Cambria" w:cstheme="minorHAnsi"/>
          <w:sz w:val="22"/>
          <w:szCs w:val="22"/>
        </w:rPr>
        <w:t>mlouvě a pouze v souladu s příslušnými ustanoveními právního předpisu upravujícího zadávání veřejných zakázek účinného v době změny závazku ze smlouvy. Zhotovitel zpracuje návrh na</w:t>
      </w:r>
      <w:r w:rsidR="008C56D9" w:rsidRPr="00E871A0">
        <w:rPr>
          <w:rFonts w:ascii="Cambria" w:hAnsi="Cambria" w:cstheme="minorHAnsi"/>
          <w:sz w:val="22"/>
          <w:szCs w:val="22"/>
        </w:rPr>
        <w:t> </w:t>
      </w:r>
      <w:r w:rsidRPr="00E871A0">
        <w:rPr>
          <w:rFonts w:ascii="Cambria" w:hAnsi="Cambria" w:cstheme="minorHAnsi"/>
          <w:sz w:val="22"/>
          <w:szCs w:val="22"/>
        </w:rPr>
        <w:t>zvýšení ceny díla dle vzorců uvedených vý</w:t>
      </w:r>
      <w:r w:rsidR="00C96B20">
        <w:rPr>
          <w:rFonts w:ascii="Cambria" w:hAnsi="Cambria" w:cstheme="minorHAnsi"/>
          <w:sz w:val="22"/>
          <w:szCs w:val="22"/>
        </w:rPr>
        <w:t>še a předloží jej Objednateli k </w:t>
      </w:r>
      <w:r w:rsidRPr="00E871A0">
        <w:rPr>
          <w:rFonts w:ascii="Cambria" w:hAnsi="Cambria" w:cstheme="minorHAnsi"/>
          <w:sz w:val="22"/>
          <w:szCs w:val="22"/>
        </w:rPr>
        <w:t>odsouhlasení. Objednatel se zavazuje, že se k návrhu na zvýšení ceny díla vyjádří nejpozději do 10 dnů ode dne jeho předložení Zhotovitelem. Prodlení Objednatele s vyjádřením oproti stanovené lhůtě nelze považovat za souhlas s</w:t>
      </w:r>
      <w:r w:rsidR="008C56D9" w:rsidRPr="00E871A0">
        <w:rPr>
          <w:rFonts w:ascii="Cambria" w:hAnsi="Cambria" w:cstheme="minorHAnsi"/>
          <w:sz w:val="22"/>
          <w:szCs w:val="22"/>
        </w:rPr>
        <w:t> </w:t>
      </w:r>
      <w:r w:rsidRPr="00E871A0">
        <w:rPr>
          <w:rFonts w:ascii="Cambria" w:hAnsi="Cambria" w:cstheme="minorHAnsi"/>
          <w:sz w:val="22"/>
          <w:szCs w:val="22"/>
        </w:rPr>
        <w:t>návrhem.</w:t>
      </w:r>
    </w:p>
    <w:p w14:paraId="13331994" w14:textId="46260D9E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sz w:val="22"/>
          <w:szCs w:val="22"/>
        </w:rPr>
      </w:pPr>
      <w:r w:rsidRPr="00E871A0">
        <w:rPr>
          <w:rFonts w:ascii="Cambria" w:hAnsi="Cambria" w:cstheme="minorHAnsi"/>
          <w:sz w:val="22"/>
          <w:szCs w:val="22"/>
        </w:rPr>
        <w:t xml:space="preserve">V případě, že Český statistický úřad prodlouží frekvenci vyhlašování výše uvedeného indexu, bude </w:t>
      </w:r>
      <w:r w:rsidR="007C3AAF" w:rsidRPr="00E871A0">
        <w:rPr>
          <w:rFonts w:ascii="Cambria" w:hAnsi="Cambria" w:cstheme="minorHAnsi"/>
          <w:sz w:val="22"/>
          <w:szCs w:val="22"/>
        </w:rPr>
        <w:t xml:space="preserve">mechanismus valorizace ceny </w:t>
      </w:r>
      <w:r w:rsidRPr="00E871A0">
        <w:rPr>
          <w:rFonts w:ascii="Cambria" w:hAnsi="Cambria" w:cstheme="minorHAnsi"/>
          <w:sz w:val="22"/>
          <w:szCs w:val="22"/>
        </w:rPr>
        <w:t xml:space="preserve">aplikován v návaznosti na tuto prodlouženou frekvenci vyhlašování (tj. např. pololetně). Pokud Český statistický úřad frekvenci vyhlašování výše uvedeného indexu zkrátí, bude </w:t>
      </w:r>
      <w:r w:rsidR="00E52061" w:rsidRPr="00E871A0">
        <w:rPr>
          <w:rFonts w:ascii="Cambria" w:hAnsi="Cambria" w:cstheme="minorHAnsi"/>
          <w:sz w:val="22"/>
          <w:szCs w:val="22"/>
        </w:rPr>
        <w:t xml:space="preserve">mechanismus valorizace ceny </w:t>
      </w:r>
      <w:r w:rsidRPr="00E871A0">
        <w:rPr>
          <w:rFonts w:ascii="Cambria" w:hAnsi="Cambria" w:cstheme="minorHAnsi"/>
          <w:sz w:val="22"/>
          <w:szCs w:val="22"/>
        </w:rPr>
        <w:t>nadále aplikován čtvrtletně, přičemž jako hodnota indexu „Lin“ bude brán aritmetický průměr hodnot indexu vydaných pro příslušné kalendářní čtvrtletí.</w:t>
      </w:r>
    </w:p>
    <w:p w14:paraId="2A691051" w14:textId="2A13EE63" w:rsidR="00016259" w:rsidRPr="00E871A0" w:rsidRDefault="00016259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sz w:val="22"/>
          <w:szCs w:val="22"/>
        </w:rPr>
      </w:pPr>
      <w:r w:rsidRPr="00E871A0">
        <w:rPr>
          <w:rFonts w:ascii="Cambria" w:hAnsi="Cambria" w:cstheme="minorHAnsi"/>
          <w:sz w:val="22"/>
          <w:szCs w:val="22"/>
        </w:rPr>
        <w:t>V případě, že Český statistický úřad nebude nadále vyhlašovat výše uvedený index, zvolí objednatel pro</w:t>
      </w:r>
      <w:r w:rsidR="008C56D9" w:rsidRPr="00E871A0">
        <w:rPr>
          <w:rFonts w:ascii="Cambria" w:hAnsi="Cambria" w:cstheme="minorHAnsi"/>
          <w:sz w:val="22"/>
          <w:szCs w:val="22"/>
        </w:rPr>
        <w:t> </w:t>
      </w:r>
      <w:r w:rsidRPr="00E871A0">
        <w:rPr>
          <w:rFonts w:ascii="Cambria" w:hAnsi="Cambria" w:cstheme="minorHAnsi"/>
          <w:sz w:val="22"/>
          <w:szCs w:val="22"/>
        </w:rPr>
        <w:t xml:space="preserve">aplikaci </w:t>
      </w:r>
      <w:r w:rsidR="00E52061" w:rsidRPr="00E871A0">
        <w:rPr>
          <w:rFonts w:ascii="Cambria" w:hAnsi="Cambria" w:cstheme="minorHAnsi"/>
          <w:sz w:val="22"/>
          <w:szCs w:val="22"/>
        </w:rPr>
        <w:t xml:space="preserve">mechanismu valorizace ceny </w:t>
      </w:r>
      <w:r w:rsidRPr="00E871A0">
        <w:rPr>
          <w:rFonts w:ascii="Cambria" w:hAnsi="Cambria" w:cstheme="minorHAnsi"/>
          <w:sz w:val="22"/>
          <w:szCs w:val="22"/>
        </w:rPr>
        <w:t>jiný index vydávaný Českým statistickým úřadem, který se svým obsahem bude nejvíce blížit výše uvedenému indexu.</w:t>
      </w:r>
    </w:p>
    <w:p w14:paraId="63777B44" w14:textId="5777D556" w:rsidR="00887234" w:rsidRPr="00E871A0" w:rsidRDefault="00224622" w:rsidP="00016259">
      <w:pPr>
        <w:autoSpaceDE w:val="0"/>
        <w:autoSpaceDN w:val="0"/>
        <w:adjustRightInd w:val="0"/>
        <w:spacing w:after="120" w:line="312" w:lineRule="auto"/>
        <w:jc w:val="both"/>
        <w:rPr>
          <w:rFonts w:ascii="Cambria" w:hAnsi="Cambria" w:cstheme="minorHAnsi"/>
          <w:sz w:val="22"/>
          <w:szCs w:val="22"/>
        </w:rPr>
      </w:pPr>
      <w:r w:rsidRPr="00E871A0">
        <w:rPr>
          <w:rFonts w:ascii="Cambria" w:hAnsi="Cambria" w:cstheme="minorHAnsi"/>
          <w:sz w:val="22"/>
          <w:szCs w:val="22"/>
        </w:rPr>
        <w:lastRenderedPageBreak/>
        <w:t xml:space="preserve">Mechanismus valorizace ceny </w:t>
      </w:r>
      <w:r w:rsidR="00887234" w:rsidRPr="00E871A0">
        <w:rPr>
          <w:rFonts w:ascii="Cambria" w:hAnsi="Cambria" w:cstheme="minorHAnsi"/>
          <w:sz w:val="22"/>
          <w:szCs w:val="22"/>
        </w:rPr>
        <w:t xml:space="preserve">nedopadá na případy </w:t>
      </w:r>
      <w:r w:rsidR="00843755" w:rsidRPr="00E871A0">
        <w:rPr>
          <w:rFonts w:ascii="Cambria" w:hAnsi="Cambria" w:cstheme="minorHAnsi"/>
          <w:sz w:val="22"/>
          <w:szCs w:val="22"/>
        </w:rPr>
        <w:t>dodatečných stavebních prací</w:t>
      </w:r>
      <w:r w:rsidR="00887234" w:rsidRPr="00E871A0">
        <w:rPr>
          <w:rFonts w:ascii="Cambria" w:hAnsi="Cambria" w:cstheme="minorHAnsi"/>
          <w:sz w:val="22"/>
          <w:szCs w:val="22"/>
        </w:rPr>
        <w:t>, které budou oceňovány způsobem uvedeným v obchodních podmínkách.</w:t>
      </w:r>
    </w:p>
    <w:p w14:paraId="461C01CC" w14:textId="77777777" w:rsidR="00461348" w:rsidRPr="00E871A0" w:rsidRDefault="00461348" w:rsidP="00461348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E871A0">
        <w:rPr>
          <w:rFonts w:ascii="Cambria" w:hAnsi="Cambria"/>
          <w:noProof/>
        </w:rPr>
        <w:drawing>
          <wp:inline distT="0" distB="0" distL="0" distR="0" wp14:anchorId="650B7301" wp14:editId="0347EA59">
            <wp:extent cx="5760720" cy="57384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3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DD2C4" w14:textId="77777777" w:rsidR="00461348" w:rsidRPr="00E871A0" w:rsidRDefault="00461348" w:rsidP="00461348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i/>
          <w:color w:val="000000" w:themeColor="text1"/>
          <w:sz w:val="20"/>
          <w:szCs w:val="20"/>
        </w:rPr>
      </w:pPr>
      <w:r w:rsidRPr="00E871A0">
        <w:rPr>
          <w:rFonts w:ascii="Cambria" w:hAnsi="Cambria" w:cs="Arial"/>
          <w:i/>
          <w:color w:val="000000" w:themeColor="text1"/>
          <w:sz w:val="20"/>
          <w:szCs w:val="20"/>
        </w:rPr>
        <w:t>Pro příklad je použit termín podání nabídky listopad 2021 a doba trvání stavby 24 měsíců</w:t>
      </w:r>
    </w:p>
    <w:p w14:paraId="221F3CF6" w14:textId="6C2A6501" w:rsidR="002862B3" w:rsidRPr="00E871A0" w:rsidRDefault="002862B3" w:rsidP="00EA5802">
      <w:pPr>
        <w:jc w:val="both"/>
        <w:rPr>
          <w:rFonts w:ascii="Cambria" w:hAnsi="Cambria" w:cstheme="minorHAnsi"/>
          <w:sz w:val="22"/>
          <w:szCs w:val="22"/>
        </w:rPr>
      </w:pPr>
    </w:p>
    <w:sectPr w:rsidR="002862B3" w:rsidRPr="00E871A0" w:rsidSect="00C24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7380C" w14:textId="77777777" w:rsidR="000A581B" w:rsidRDefault="000A581B" w:rsidP="00016259">
      <w:r>
        <w:separator/>
      </w:r>
    </w:p>
  </w:endnote>
  <w:endnote w:type="continuationSeparator" w:id="0">
    <w:p w14:paraId="62D2832E" w14:textId="77777777" w:rsidR="000A581B" w:rsidRDefault="000A581B" w:rsidP="00016259">
      <w:r>
        <w:continuationSeparator/>
      </w:r>
    </w:p>
  </w:endnote>
  <w:endnote w:type="continuationNotice" w:id="1">
    <w:p w14:paraId="230B1FA6" w14:textId="77777777" w:rsidR="000A581B" w:rsidRDefault="000A5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47524" w14:textId="77777777" w:rsidR="00461348" w:rsidRDefault="004613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D82FA" w14:textId="77777777" w:rsidR="00461348" w:rsidRDefault="004613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2FE8" w14:textId="77777777" w:rsidR="00461348" w:rsidRDefault="004613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E9A7C" w14:textId="77777777" w:rsidR="000A581B" w:rsidRDefault="000A581B" w:rsidP="00016259">
      <w:r>
        <w:separator/>
      </w:r>
    </w:p>
  </w:footnote>
  <w:footnote w:type="continuationSeparator" w:id="0">
    <w:p w14:paraId="04412C50" w14:textId="77777777" w:rsidR="000A581B" w:rsidRDefault="000A581B" w:rsidP="00016259">
      <w:r>
        <w:continuationSeparator/>
      </w:r>
    </w:p>
  </w:footnote>
  <w:footnote w:type="continuationNotice" w:id="1">
    <w:p w14:paraId="64DE4771" w14:textId="77777777" w:rsidR="000A581B" w:rsidRDefault="000A58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954AE" w14:textId="77777777" w:rsidR="00461348" w:rsidRDefault="004613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37681" w14:textId="77777777" w:rsidR="00C242E7" w:rsidRDefault="00C242E7" w:rsidP="00C242E7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75A0" w14:textId="77777777" w:rsidR="00461348" w:rsidRDefault="004613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8E6"/>
    <w:multiLevelType w:val="hybridMultilevel"/>
    <w:tmpl w:val="B0344E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9"/>
    <w:rsid w:val="00007B93"/>
    <w:rsid w:val="00016259"/>
    <w:rsid w:val="00054B2D"/>
    <w:rsid w:val="0006319B"/>
    <w:rsid w:val="00065639"/>
    <w:rsid w:val="000A08DB"/>
    <w:rsid w:val="000A581B"/>
    <w:rsid w:val="000B7150"/>
    <w:rsid w:val="000D50DF"/>
    <w:rsid w:val="000D53AE"/>
    <w:rsid w:val="000D5BE4"/>
    <w:rsid w:val="000E3E3F"/>
    <w:rsid w:val="000E44F4"/>
    <w:rsid w:val="00116AF4"/>
    <w:rsid w:val="00137546"/>
    <w:rsid w:val="00140595"/>
    <w:rsid w:val="00145DB9"/>
    <w:rsid w:val="00192C6E"/>
    <w:rsid w:val="001E62DB"/>
    <w:rsid w:val="001E71B8"/>
    <w:rsid w:val="00224622"/>
    <w:rsid w:val="00256D51"/>
    <w:rsid w:val="00257E26"/>
    <w:rsid w:val="00272D67"/>
    <w:rsid w:val="002862B3"/>
    <w:rsid w:val="0028722F"/>
    <w:rsid w:val="00291849"/>
    <w:rsid w:val="002C7884"/>
    <w:rsid w:val="00302100"/>
    <w:rsid w:val="003119B8"/>
    <w:rsid w:val="00320AEC"/>
    <w:rsid w:val="00322C41"/>
    <w:rsid w:val="003502D9"/>
    <w:rsid w:val="00355EAA"/>
    <w:rsid w:val="0036359E"/>
    <w:rsid w:val="003638EF"/>
    <w:rsid w:val="00376EBC"/>
    <w:rsid w:val="00384EC9"/>
    <w:rsid w:val="00385AD9"/>
    <w:rsid w:val="00396B7F"/>
    <w:rsid w:val="003C15D1"/>
    <w:rsid w:val="003F09BA"/>
    <w:rsid w:val="003F4E9D"/>
    <w:rsid w:val="00415AA0"/>
    <w:rsid w:val="00420956"/>
    <w:rsid w:val="00424AF1"/>
    <w:rsid w:val="00443D84"/>
    <w:rsid w:val="00461348"/>
    <w:rsid w:val="00461420"/>
    <w:rsid w:val="004748F6"/>
    <w:rsid w:val="004A2D08"/>
    <w:rsid w:val="004C5B96"/>
    <w:rsid w:val="004D1344"/>
    <w:rsid w:val="005119B7"/>
    <w:rsid w:val="0052089B"/>
    <w:rsid w:val="00522782"/>
    <w:rsid w:val="005311FB"/>
    <w:rsid w:val="00533839"/>
    <w:rsid w:val="005474D5"/>
    <w:rsid w:val="00565BEC"/>
    <w:rsid w:val="00580773"/>
    <w:rsid w:val="005A79AE"/>
    <w:rsid w:val="005D18D4"/>
    <w:rsid w:val="005D18F1"/>
    <w:rsid w:val="005D1EB3"/>
    <w:rsid w:val="005E296A"/>
    <w:rsid w:val="005F32AB"/>
    <w:rsid w:val="005F7BC8"/>
    <w:rsid w:val="00611897"/>
    <w:rsid w:val="006128E5"/>
    <w:rsid w:val="00622BA9"/>
    <w:rsid w:val="00622C58"/>
    <w:rsid w:val="006369C6"/>
    <w:rsid w:val="00637FF9"/>
    <w:rsid w:val="006631B8"/>
    <w:rsid w:val="00664EFA"/>
    <w:rsid w:val="00673653"/>
    <w:rsid w:val="0069219A"/>
    <w:rsid w:val="00696BB0"/>
    <w:rsid w:val="0069714E"/>
    <w:rsid w:val="006E5CC0"/>
    <w:rsid w:val="006E7DD0"/>
    <w:rsid w:val="006F3C6C"/>
    <w:rsid w:val="00715ABD"/>
    <w:rsid w:val="0072773B"/>
    <w:rsid w:val="00740173"/>
    <w:rsid w:val="007432FC"/>
    <w:rsid w:val="007550BB"/>
    <w:rsid w:val="007A42CF"/>
    <w:rsid w:val="007C3AAF"/>
    <w:rsid w:val="008051E5"/>
    <w:rsid w:val="00810743"/>
    <w:rsid w:val="00825AE1"/>
    <w:rsid w:val="00843755"/>
    <w:rsid w:val="008509B8"/>
    <w:rsid w:val="0085203E"/>
    <w:rsid w:val="00856064"/>
    <w:rsid w:val="0086651C"/>
    <w:rsid w:val="00875859"/>
    <w:rsid w:val="00887234"/>
    <w:rsid w:val="008C56D9"/>
    <w:rsid w:val="008E0F61"/>
    <w:rsid w:val="00901F07"/>
    <w:rsid w:val="00910B0C"/>
    <w:rsid w:val="0092144B"/>
    <w:rsid w:val="0092750E"/>
    <w:rsid w:val="009351B1"/>
    <w:rsid w:val="00957D6C"/>
    <w:rsid w:val="00974B0B"/>
    <w:rsid w:val="0098006F"/>
    <w:rsid w:val="009964D5"/>
    <w:rsid w:val="00A10B96"/>
    <w:rsid w:val="00A14419"/>
    <w:rsid w:val="00A14D1D"/>
    <w:rsid w:val="00A23DC1"/>
    <w:rsid w:val="00A46AEF"/>
    <w:rsid w:val="00A47279"/>
    <w:rsid w:val="00A64379"/>
    <w:rsid w:val="00A67604"/>
    <w:rsid w:val="00A74BC4"/>
    <w:rsid w:val="00A74E77"/>
    <w:rsid w:val="00A836FF"/>
    <w:rsid w:val="00A85E60"/>
    <w:rsid w:val="00AB0B63"/>
    <w:rsid w:val="00AE1785"/>
    <w:rsid w:val="00B10577"/>
    <w:rsid w:val="00B23BE9"/>
    <w:rsid w:val="00B3035F"/>
    <w:rsid w:val="00B71EF6"/>
    <w:rsid w:val="00B74D17"/>
    <w:rsid w:val="00B74E7F"/>
    <w:rsid w:val="00B94EE8"/>
    <w:rsid w:val="00B97E0D"/>
    <w:rsid w:val="00BB58F3"/>
    <w:rsid w:val="00BC1344"/>
    <w:rsid w:val="00BC3BF1"/>
    <w:rsid w:val="00BC4280"/>
    <w:rsid w:val="00C00ED3"/>
    <w:rsid w:val="00C076DF"/>
    <w:rsid w:val="00C10066"/>
    <w:rsid w:val="00C242E7"/>
    <w:rsid w:val="00C362CD"/>
    <w:rsid w:val="00C4767A"/>
    <w:rsid w:val="00C80B93"/>
    <w:rsid w:val="00C81C62"/>
    <w:rsid w:val="00C96B20"/>
    <w:rsid w:val="00CC42D6"/>
    <w:rsid w:val="00D03B17"/>
    <w:rsid w:val="00D03B18"/>
    <w:rsid w:val="00D14649"/>
    <w:rsid w:val="00D279ED"/>
    <w:rsid w:val="00D303B7"/>
    <w:rsid w:val="00D306BA"/>
    <w:rsid w:val="00D86951"/>
    <w:rsid w:val="00D920BF"/>
    <w:rsid w:val="00D925DB"/>
    <w:rsid w:val="00DA203B"/>
    <w:rsid w:val="00DC07F4"/>
    <w:rsid w:val="00DD6954"/>
    <w:rsid w:val="00DF1E9A"/>
    <w:rsid w:val="00E00189"/>
    <w:rsid w:val="00E52061"/>
    <w:rsid w:val="00E66C7A"/>
    <w:rsid w:val="00E73B49"/>
    <w:rsid w:val="00E82BEB"/>
    <w:rsid w:val="00E871A0"/>
    <w:rsid w:val="00EA5802"/>
    <w:rsid w:val="00ED0404"/>
    <w:rsid w:val="00ED2F8D"/>
    <w:rsid w:val="00ED4B0B"/>
    <w:rsid w:val="00EE1E71"/>
    <w:rsid w:val="00EF48F3"/>
    <w:rsid w:val="00F43E4C"/>
    <w:rsid w:val="00F57EBD"/>
    <w:rsid w:val="00F8095F"/>
    <w:rsid w:val="00F84DE6"/>
    <w:rsid w:val="00F877DC"/>
    <w:rsid w:val="00FA0ECC"/>
    <w:rsid w:val="00FA3A0D"/>
    <w:rsid w:val="00FB0B1A"/>
    <w:rsid w:val="00FC28B3"/>
    <w:rsid w:val="2258EE41"/>
    <w:rsid w:val="2B7FED2C"/>
    <w:rsid w:val="366C3D05"/>
    <w:rsid w:val="3C0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46E9B"/>
  <w15:chartTrackingRefBased/>
  <w15:docId w15:val="{53EA18E8-ECD9-4FA2-BE5E-48A96BE5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3B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3B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3B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záhlaví,Příjmy,zisk,optimum"/>
    <w:basedOn w:val="Normln"/>
    <w:link w:val="ZhlavChar"/>
    <w:unhideWhenUsed/>
    <w:rsid w:val="00866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Příjmy Char,zisk Char,optimum Char"/>
    <w:basedOn w:val="Standardnpsmoodstavce"/>
    <w:link w:val="Zhlav"/>
    <w:rsid w:val="008665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6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5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31B8"/>
    <w:pPr>
      <w:ind w:left="720"/>
      <w:contextualSpacing/>
    </w:pPr>
  </w:style>
  <w:style w:type="paragraph" w:styleId="Revize">
    <w:name w:val="Revision"/>
    <w:hidden/>
    <w:uiPriority w:val="99"/>
    <w:semiHidden/>
    <w:rsid w:val="0066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3" ma:contentTypeDescription="Vytvoří nový dokument" ma:contentTypeScope="" ma:versionID="727dc54930a347da8824c15a7416add7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0a4e59f526b80745ce3cbdabaca9bcf6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d2ded5-0330-4da1-9174-2ef5adb4fc8d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d2623-97ce-4d3d-b38b-e619fa1cf8e4" xsi:nil="true"/>
    <lcf76f155ced4ddcb4097134ff3c332f xmlns="3c3db478-5397-4d9d-b8f4-aeb2c9f9eb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9F700F-CE00-4610-B7FC-11D520274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13A30-BAD7-43BB-8480-04FB5FCF0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DF796-836D-4B88-9832-FBCBDE0E9F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7d2623-97ce-4d3d-b38b-e619fa1cf8e4"/>
    <ds:schemaRef ds:uri="http://purl.org/dc/elements/1.1/"/>
    <ds:schemaRef ds:uri="3c3db478-5397-4d9d-b8f4-aeb2c9f9eb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Vančurová Petra</dc:creator>
  <cp:keywords/>
  <dc:description/>
  <cp:lastModifiedBy>Michaela Lacková</cp:lastModifiedBy>
  <cp:revision>47</cp:revision>
  <dcterms:created xsi:type="dcterms:W3CDTF">2022-07-27T00:35:00Z</dcterms:created>
  <dcterms:modified xsi:type="dcterms:W3CDTF">2025-03-17T11:06:00Z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2022-07-26T06:35:25.6215899Z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0x0101006E7F9CBD517D82478C04156C2128DDAB</vt:lpwstr>
  </property>
  <property fmtid="{D5CDD505-2E9C-101B-9397-08002B2CF9AE}" pid="9" name="MediaServiceImageTags">
    <vt:lpwstr/>
  </property>
</Properties>
</file>