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ermStart w:id="565455054" w:edGrp="everyone"/>
    <w:p w14:paraId="6B4E935C" w14:textId="2C93451A"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1A41F7">
        <w:rPr>
          <w:rFonts w:asciiTheme="majorHAnsi" w:eastAsia="Times New Roman" w:hAnsiTheme="majorHAnsi" w:cstheme="majorHAnsi"/>
          <w:b/>
          <w:color w:val="000000"/>
          <w:spacing w:val="-3"/>
          <w:sz w:val="24"/>
          <w:szCs w:val="24"/>
          <w:highlight w:val="yellow"/>
          <w:lang w:val="cs-CZ" w:eastAsia="cs-CZ"/>
        </w:rPr>
        <w:fldChar w:fldCharType="begin">
          <w:ffData>
            <w:name w:val=""/>
            <w:enabled/>
            <w:calcOnExit w:val="0"/>
            <w:textInput/>
          </w:ffData>
        </w:fldChar>
      </w:r>
      <w:r w:rsidRPr="001A41F7">
        <w:rPr>
          <w:rFonts w:asciiTheme="majorHAnsi" w:eastAsia="Times New Roman" w:hAnsiTheme="majorHAnsi" w:cstheme="majorHAnsi"/>
          <w:b/>
          <w:color w:val="000000"/>
          <w:spacing w:val="-3"/>
          <w:sz w:val="24"/>
          <w:szCs w:val="24"/>
          <w:highlight w:val="yellow"/>
          <w:lang w:val="cs-CZ" w:eastAsia="cs-CZ"/>
        </w:rPr>
        <w:instrText xml:space="preserve"> FORMTEXT </w:instrText>
      </w:r>
      <w:r w:rsidR="00701236" w:rsidRPr="001A41F7">
        <w:rPr>
          <w:rFonts w:asciiTheme="majorHAnsi" w:eastAsia="Times New Roman" w:hAnsiTheme="majorHAnsi" w:cstheme="majorHAnsi"/>
          <w:b/>
          <w:color w:val="000000"/>
          <w:spacing w:val="-3"/>
          <w:sz w:val="24"/>
          <w:szCs w:val="24"/>
          <w:highlight w:val="yellow"/>
          <w:lang w:val="cs-CZ" w:eastAsia="cs-CZ"/>
        </w:rPr>
      </w:r>
      <w:r w:rsidRPr="001A41F7">
        <w:rPr>
          <w:rFonts w:asciiTheme="majorHAnsi" w:eastAsia="Times New Roman" w:hAnsiTheme="majorHAnsi" w:cstheme="majorHAnsi"/>
          <w:b/>
          <w:color w:val="000000"/>
          <w:spacing w:val="-3"/>
          <w:sz w:val="24"/>
          <w:szCs w:val="24"/>
          <w:highlight w:val="yellow"/>
          <w:lang w:val="cs-CZ" w:eastAsia="cs-CZ"/>
        </w:rPr>
        <w:fldChar w:fldCharType="separate"/>
      </w:r>
      <w:r w:rsidRPr="001A41F7">
        <w:rPr>
          <w:rFonts w:asciiTheme="majorHAnsi" w:eastAsia="Times New Roman" w:hAnsiTheme="majorHAnsi" w:cstheme="majorHAnsi"/>
          <w:b/>
          <w:color w:val="000000"/>
          <w:spacing w:val="-3"/>
          <w:sz w:val="24"/>
          <w:szCs w:val="24"/>
          <w:highlight w:val="yellow"/>
          <w:lang w:val="cs-CZ" w:eastAsia="cs-CZ"/>
        </w:rPr>
        <w:t> </w:t>
      </w:r>
      <w:r w:rsidRPr="001A41F7">
        <w:rPr>
          <w:rFonts w:asciiTheme="majorHAnsi" w:eastAsia="Times New Roman" w:hAnsiTheme="majorHAnsi" w:cstheme="majorHAnsi"/>
          <w:b/>
          <w:color w:val="000000"/>
          <w:spacing w:val="-3"/>
          <w:sz w:val="24"/>
          <w:szCs w:val="24"/>
          <w:highlight w:val="yellow"/>
          <w:lang w:val="cs-CZ" w:eastAsia="cs-CZ"/>
        </w:rPr>
        <w:t> </w:t>
      </w:r>
      <w:r w:rsidRPr="001A41F7">
        <w:rPr>
          <w:rFonts w:asciiTheme="majorHAnsi" w:eastAsia="Times New Roman" w:hAnsiTheme="majorHAnsi" w:cstheme="majorHAnsi"/>
          <w:b/>
          <w:color w:val="000000"/>
          <w:spacing w:val="-3"/>
          <w:sz w:val="24"/>
          <w:szCs w:val="24"/>
          <w:highlight w:val="yellow"/>
          <w:lang w:val="cs-CZ" w:eastAsia="cs-CZ"/>
        </w:rPr>
        <w:t> </w:t>
      </w:r>
      <w:r w:rsidRPr="001A41F7">
        <w:rPr>
          <w:rFonts w:asciiTheme="majorHAnsi" w:eastAsia="Times New Roman" w:hAnsiTheme="majorHAnsi" w:cstheme="majorHAnsi"/>
          <w:b/>
          <w:color w:val="000000"/>
          <w:spacing w:val="-3"/>
          <w:sz w:val="24"/>
          <w:szCs w:val="24"/>
          <w:highlight w:val="yellow"/>
          <w:lang w:val="cs-CZ" w:eastAsia="cs-CZ"/>
        </w:rPr>
        <w:t> </w:t>
      </w:r>
      <w:r w:rsidRPr="001A41F7">
        <w:rPr>
          <w:rFonts w:asciiTheme="majorHAnsi" w:eastAsia="Times New Roman" w:hAnsiTheme="majorHAnsi" w:cstheme="majorHAnsi"/>
          <w:b/>
          <w:color w:val="000000"/>
          <w:spacing w:val="-3"/>
          <w:sz w:val="24"/>
          <w:szCs w:val="24"/>
          <w:highlight w:val="yellow"/>
          <w:lang w:val="cs-CZ" w:eastAsia="cs-CZ"/>
        </w:rPr>
        <w:t> </w:t>
      </w:r>
      <w:r w:rsidRPr="001A41F7">
        <w:rPr>
          <w:rFonts w:asciiTheme="majorHAnsi" w:eastAsia="Times New Roman" w:hAnsiTheme="majorHAnsi" w:cstheme="majorHAnsi"/>
          <w:b/>
          <w:color w:val="000000"/>
          <w:spacing w:val="-3"/>
          <w:sz w:val="24"/>
          <w:szCs w:val="24"/>
          <w:highlight w:val="yellow"/>
          <w:lang w:val="cs-CZ" w:eastAsia="cs-CZ"/>
        </w:rPr>
        <w:fldChar w:fldCharType="end"/>
      </w:r>
      <w:permEnd w:id="565455054"/>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5705D571"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00D36C6A">
        <w:rPr>
          <w:rFonts w:asciiTheme="majorHAnsi" w:eastAsia="Times New Roman" w:hAnsiTheme="majorHAnsi" w:cstheme="majorHAnsi"/>
          <w:sz w:val="22"/>
          <w:szCs w:val="22"/>
          <w:lang w:val="cs-CZ" w:eastAsia="cs-CZ"/>
        </w:rPr>
        <w:tab/>
      </w:r>
      <w:permStart w:id="2134058573" w:edGrp="everyone"/>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ermEnd w:id="2134058573"/>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permStart w:id="1710690951" w:edGrp="everyone"/>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ermEnd w:id="1710690951"/>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permStart w:id="507644305" w:edGrp="everyone"/>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ermEnd w:id="507644305"/>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permStart w:id="1755676446" w:edGrp="everyone"/>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ermEnd w:id="1755676446"/>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permStart w:id="1281708222" w:edGrp="everyone"/>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ermEnd w:id="1281708222"/>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permStart w:id="1945305730" w:edGrp="everyone"/>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ermEnd w:id="1945305730"/>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permStart w:id="1007617705" w:edGrp="everyone"/>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ermEnd w:id="1007617705"/>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permStart w:id="103629561" w:edGrp="everyone"/>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ermEnd w:id="103629561"/>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permStart w:id="712518989" w:edGrp="everyone"/>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ermEnd w:id="712518989"/>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Zapsaná v OR u Krajského soudu v Brně, oddíl Pr,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129555F4"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D36C6A">
        <w:rPr>
          <w:rFonts w:asciiTheme="majorHAnsi" w:eastAsia="Times New Roman" w:hAnsiTheme="majorHAnsi" w:cstheme="majorHAnsi"/>
          <w:b/>
          <w:bCs/>
          <w:sz w:val="22"/>
          <w:szCs w:val="22"/>
          <w:lang w:val="cs-CZ" w:eastAsia="cs-CZ"/>
        </w:rPr>
        <w:t>Operační stůl pro oční sál</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0F377141" w14:textId="77777777" w:rsidR="00A4265E" w:rsidRDefault="006549D0" w:rsidP="00A4265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spolu se všemi právy nutnými k řádném a nerušeném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A4265E">
        <w:rPr>
          <w:rFonts w:asciiTheme="majorHAnsi" w:eastAsia="Times New Roman" w:hAnsiTheme="majorHAnsi" w:cstheme="majorHAnsi"/>
          <w:b/>
          <w:bCs/>
          <w:sz w:val="22"/>
          <w:szCs w:val="22"/>
          <w:u w:val="single"/>
          <w:lang w:val="cs-CZ" w:eastAsia="cs-CZ"/>
        </w:rPr>
        <w:t>Operační stůl,</w:t>
      </w:r>
      <w:r w:rsidR="00A4265E" w:rsidRPr="00A4265E">
        <w:rPr>
          <w:rFonts w:asciiTheme="majorHAnsi" w:eastAsia="Times New Roman" w:hAnsiTheme="majorHAnsi" w:cstheme="majorHAnsi"/>
          <w:sz w:val="22"/>
          <w:szCs w:val="22"/>
          <w:lang w:val="cs-CZ" w:eastAsia="cs-CZ"/>
        </w:rPr>
        <w:t xml:space="preserve"> dále</w:t>
      </w:r>
      <w:r w:rsidR="0070751A" w:rsidRPr="00883040">
        <w:rPr>
          <w:rFonts w:asciiTheme="majorHAnsi" w:eastAsia="Times New Roman" w:hAnsiTheme="majorHAnsi" w:cstheme="majorHAnsi"/>
          <w:sz w:val="22"/>
          <w:szCs w:val="22"/>
          <w:lang w:val="cs-CZ" w:eastAsia="cs-CZ"/>
        </w:rPr>
        <w:t xml:space="preserv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A4265E">
        <w:rPr>
          <w:rFonts w:asciiTheme="majorHAnsi" w:hAnsiTheme="majorHAnsi" w:cstheme="majorHAnsi"/>
          <w:sz w:val="22"/>
          <w:szCs w:val="22"/>
          <w:lang w:val="cs-CZ"/>
        </w:rPr>
        <w:t>Předmětem této smlouvy je následující zboží:</w:t>
      </w:r>
      <w:r w:rsidR="008F130E" w:rsidRPr="00883040">
        <w:rPr>
          <w:rFonts w:asciiTheme="majorHAnsi" w:hAnsiTheme="majorHAnsi" w:cstheme="majorHAnsi"/>
          <w:sz w:val="22"/>
          <w:szCs w:val="22"/>
        </w:rPr>
        <w:t xml:space="preserve"> </w:t>
      </w:r>
    </w:p>
    <w:p w14:paraId="2A539B7C" w14:textId="5F8A3885" w:rsidR="008F130E" w:rsidRPr="00A4265E" w:rsidRDefault="00A4265E" w:rsidP="00A4265E">
      <w:pPr>
        <w:pStyle w:val="Odstavecseseznamem"/>
        <w:numPr>
          <w:ilvl w:val="0"/>
          <w:numId w:val="45"/>
        </w:numPr>
        <w:spacing w:after="240"/>
        <w:jc w:val="both"/>
        <w:rPr>
          <w:rFonts w:asciiTheme="majorHAnsi" w:hAnsiTheme="majorHAnsi" w:cstheme="majorHAnsi"/>
          <w:bCs/>
        </w:rPr>
      </w:pPr>
      <w:r w:rsidRPr="00A4265E">
        <w:rPr>
          <w:rFonts w:asciiTheme="majorHAnsi" w:hAnsiTheme="majorHAnsi" w:cstheme="majorHAnsi"/>
          <w:b/>
          <w:bCs/>
        </w:rPr>
        <w:t>Operační stůl</w:t>
      </w:r>
      <w:r w:rsidR="00F60BD0" w:rsidRPr="00A4265E">
        <w:rPr>
          <w:rFonts w:asciiTheme="majorHAnsi" w:hAnsiTheme="majorHAnsi" w:cstheme="majorHAnsi"/>
          <w:i/>
        </w:rPr>
        <w:t xml:space="preserve"> - </w:t>
      </w:r>
      <w:r w:rsidRPr="00A4265E">
        <w:rPr>
          <w:rFonts w:asciiTheme="majorHAnsi" w:hAnsiTheme="majorHAnsi" w:cstheme="majorHAnsi"/>
          <w:i/>
        </w:rPr>
        <w:t xml:space="preserve">1 </w:t>
      </w:r>
      <w:r w:rsidR="00353FE3" w:rsidRPr="00A4265E">
        <w:rPr>
          <w:rFonts w:asciiTheme="majorHAnsi" w:hAnsiTheme="majorHAnsi" w:cstheme="majorHAnsi"/>
          <w:i/>
        </w:rPr>
        <w:t xml:space="preserve">ks, </w:t>
      </w:r>
      <w:permStart w:id="722563530" w:edGrp="everyone"/>
      <w:r w:rsidR="008F130E" w:rsidRPr="00A4265E">
        <w:rPr>
          <w:rFonts w:asciiTheme="majorHAnsi" w:hAnsiTheme="majorHAnsi" w:cstheme="majorHAnsi"/>
          <w:i/>
          <w:highlight w:val="yellow"/>
        </w:rPr>
        <w:t>typové označení</w:t>
      </w:r>
      <w:r w:rsidRPr="00A4265E">
        <w:rPr>
          <w:rFonts w:asciiTheme="majorHAnsi" w:hAnsiTheme="majorHAnsi" w:cstheme="majorHAnsi"/>
          <w:i/>
          <w:highlight w:val="yellow"/>
        </w:rPr>
        <w:t xml:space="preserve"> </w:t>
      </w:r>
      <w:r w:rsidR="00B46B6F" w:rsidRPr="00A4265E">
        <w:rPr>
          <w:rFonts w:asciiTheme="majorHAnsi" w:hAnsiTheme="majorHAnsi" w:cstheme="majorHAnsi"/>
          <w:i/>
          <w:highlight w:val="yellow"/>
        </w:rPr>
        <w:t>…………</w:t>
      </w:r>
      <w:r w:rsidR="008F130E" w:rsidRPr="00A4265E">
        <w:rPr>
          <w:rFonts w:asciiTheme="majorHAnsi" w:hAnsiTheme="majorHAnsi" w:cstheme="majorHAnsi"/>
          <w:highlight w:val="yellow"/>
        </w:rPr>
        <w:t xml:space="preserve">, </w:t>
      </w:r>
      <w:r w:rsidR="008F130E" w:rsidRPr="00A4265E">
        <w:rPr>
          <w:rFonts w:asciiTheme="majorHAnsi" w:hAnsiTheme="majorHAnsi" w:cstheme="majorHAnsi"/>
          <w:i/>
          <w:highlight w:val="yellow"/>
        </w:rPr>
        <w:t>výrobce</w:t>
      </w:r>
      <w:r w:rsidR="008F130E" w:rsidRPr="00A4265E">
        <w:rPr>
          <w:rFonts w:asciiTheme="majorHAnsi" w:hAnsiTheme="majorHAnsi" w:cstheme="majorHAnsi"/>
          <w:highlight w:val="yellow"/>
        </w:rPr>
        <w:t xml:space="preserve"> …………</w:t>
      </w:r>
      <w:proofErr w:type="gramStart"/>
      <w:r w:rsidR="008F130E" w:rsidRPr="00A4265E">
        <w:rPr>
          <w:rFonts w:asciiTheme="majorHAnsi" w:hAnsiTheme="majorHAnsi" w:cstheme="majorHAnsi"/>
          <w:highlight w:val="yellow"/>
        </w:rPr>
        <w:t>…….</w:t>
      </w:r>
      <w:proofErr w:type="gramEnd"/>
      <w:r w:rsidR="008F130E" w:rsidRPr="00A4265E">
        <w:rPr>
          <w:rFonts w:asciiTheme="majorHAnsi" w:hAnsiTheme="majorHAnsi" w:cstheme="majorHAnsi"/>
          <w:highlight w:val="yellow"/>
        </w:rPr>
        <w:t>.</w:t>
      </w:r>
      <w:permEnd w:id="722563530"/>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lastRenderedPageBreak/>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EFC312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certifikátu CE,</w:t>
      </w:r>
    </w:p>
    <w:p w14:paraId="08D91A03" w14:textId="3FB5E6FB" w:rsidR="000E2139" w:rsidRPr="00C43792" w:rsidRDefault="0063462A" w:rsidP="000E2139">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zpracování a předání protokolu se stanovením třídy zdravotnického prostředku (I, </w:t>
      </w:r>
      <w:proofErr w:type="spellStart"/>
      <w:r w:rsidRPr="00883040">
        <w:rPr>
          <w:rFonts w:asciiTheme="majorHAnsi" w:hAnsiTheme="majorHAnsi" w:cstheme="majorHAnsi"/>
          <w:sz w:val="22"/>
          <w:szCs w:val="22"/>
          <w:lang w:val="cs-CZ"/>
        </w:rPr>
        <w:t>IIa</w:t>
      </w:r>
      <w:proofErr w:type="spellEnd"/>
      <w:r w:rsidRPr="00883040">
        <w:rPr>
          <w:rFonts w:asciiTheme="majorHAnsi" w:hAnsiTheme="majorHAnsi" w:cstheme="majorHAnsi"/>
          <w:sz w:val="22"/>
          <w:szCs w:val="22"/>
          <w:lang w:val="cs-CZ"/>
        </w:rPr>
        <w:t xml:space="preserve">, </w:t>
      </w:r>
      <w:proofErr w:type="spellStart"/>
      <w:r w:rsidRPr="00883040">
        <w:rPr>
          <w:rFonts w:asciiTheme="majorHAnsi" w:hAnsiTheme="majorHAnsi" w:cstheme="majorHAnsi"/>
          <w:sz w:val="22"/>
          <w:szCs w:val="22"/>
          <w:lang w:val="cs-CZ"/>
        </w:rPr>
        <w:t>IIb</w:t>
      </w:r>
      <w:proofErr w:type="spellEnd"/>
      <w:r w:rsidRPr="00883040">
        <w:rPr>
          <w:rFonts w:asciiTheme="majorHAnsi" w:hAnsiTheme="majorHAnsi" w:cstheme="majorHAnsi"/>
          <w:sz w:val="22"/>
          <w:szCs w:val="22"/>
          <w:lang w:val="cs-CZ"/>
        </w:rPr>
        <w:t>, III)</w:t>
      </w:r>
      <w:r w:rsidR="000E2139">
        <w:rPr>
          <w:rFonts w:asciiTheme="majorHAnsi" w:hAnsiTheme="majorHAnsi" w:cstheme="majorHAnsi"/>
          <w:sz w:val="22"/>
          <w:szCs w:val="22"/>
          <w:lang w:val="cs-CZ"/>
        </w:rPr>
        <w:t xml:space="preserve"> </w:t>
      </w:r>
      <w:r w:rsidR="000E2139" w:rsidRPr="00C43792">
        <w:rPr>
          <w:rFonts w:asciiTheme="majorHAnsi" w:hAnsiTheme="majorHAnsi" w:cstheme="majorHAnsi"/>
          <w:sz w:val="22"/>
          <w:szCs w:val="22"/>
          <w:lang w:val="cs-CZ"/>
        </w:rPr>
        <w:t>a UDI kódu (jedinečný identifikátor zdravotnického prostředku od výrobce)</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121EE5B7"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740D4D59"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A4265E" w:rsidRPr="00A4265E">
        <w:rPr>
          <w:rFonts w:asciiTheme="majorHAnsi" w:hAnsiTheme="majorHAnsi" w:cstheme="majorHAnsi"/>
          <w:b/>
        </w:rPr>
        <w:t>Operační stůl</w:t>
      </w:r>
      <w:r w:rsidR="00F60BD0" w:rsidRPr="00A4265E">
        <w:rPr>
          <w:rFonts w:asciiTheme="majorHAnsi" w:hAnsiTheme="majorHAnsi" w:cstheme="majorHAnsi"/>
          <w:b/>
        </w:rPr>
        <w:t xml:space="preserve"> – </w:t>
      </w:r>
      <w:r w:rsidR="00A4265E" w:rsidRPr="00A4265E">
        <w:rPr>
          <w:rFonts w:asciiTheme="majorHAnsi" w:hAnsiTheme="majorHAnsi" w:cstheme="majorHAnsi"/>
          <w:b/>
        </w:rPr>
        <w:t xml:space="preserve">1 </w:t>
      </w:r>
      <w:r w:rsidR="00F60BD0" w:rsidRPr="00A4265E">
        <w:rPr>
          <w:rFonts w:asciiTheme="majorHAnsi" w:hAnsiTheme="majorHAnsi" w:cstheme="majorHAnsi"/>
          <w:b/>
        </w:rPr>
        <w:t>ks</w:t>
      </w:r>
    </w:p>
    <w:p w14:paraId="7BB00329" w14:textId="77777777" w:rsidR="008F130E" w:rsidRPr="00883040" w:rsidRDefault="008F130E" w:rsidP="008F130E">
      <w:pPr>
        <w:tabs>
          <w:tab w:val="num" w:pos="426"/>
        </w:tabs>
        <w:spacing w:before="120"/>
        <w:ind w:left="425"/>
        <w:jc w:val="both"/>
        <w:rPr>
          <w:rFonts w:asciiTheme="majorHAnsi" w:hAnsiTheme="majorHAnsi" w:cstheme="majorHAnsi"/>
          <w:sz w:val="22"/>
          <w:szCs w:val="22"/>
        </w:rPr>
      </w:pPr>
      <w:r w:rsidRPr="00883040">
        <w:rPr>
          <w:rFonts w:asciiTheme="majorHAnsi" w:hAnsiTheme="majorHAnsi" w:cstheme="majorHAnsi"/>
          <w:sz w:val="22"/>
          <w:szCs w:val="22"/>
        </w:rPr>
        <w:t xml:space="preserve">Cena </w:t>
      </w:r>
      <w:proofErr w:type="spellStart"/>
      <w:r w:rsidRPr="00883040">
        <w:rPr>
          <w:rFonts w:asciiTheme="majorHAnsi" w:hAnsiTheme="majorHAnsi" w:cstheme="majorHAnsi"/>
          <w:sz w:val="22"/>
          <w:szCs w:val="22"/>
        </w:rPr>
        <w:t>celkem</w:t>
      </w:r>
      <w:proofErr w:type="spellEnd"/>
      <w:r w:rsidRPr="00883040">
        <w:rPr>
          <w:rFonts w:asciiTheme="majorHAnsi" w:hAnsiTheme="majorHAnsi" w:cstheme="majorHAnsi"/>
          <w:sz w:val="22"/>
          <w:szCs w:val="22"/>
        </w:rPr>
        <w:t xml:space="preserve"> bez DPH:</w:t>
      </w:r>
      <w:r w:rsidRPr="00883040">
        <w:rPr>
          <w:rFonts w:asciiTheme="majorHAnsi" w:hAnsiTheme="majorHAnsi" w:cstheme="majorHAnsi"/>
          <w:sz w:val="22"/>
          <w:szCs w:val="22"/>
        </w:rPr>
        <w:tab/>
      </w:r>
      <w:permStart w:id="90530392" w:edGrp="everyone"/>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ermEnd w:id="90530392"/>
      <w:proofErr w:type="spellEnd"/>
    </w:p>
    <w:p w14:paraId="2A7623BF" w14:textId="77777777" w:rsidR="008F130E" w:rsidRPr="00883040" w:rsidRDefault="008F130E" w:rsidP="008F130E">
      <w:pPr>
        <w:tabs>
          <w:tab w:val="num" w:pos="426"/>
        </w:tabs>
        <w:ind w:left="426"/>
        <w:jc w:val="both"/>
        <w:rPr>
          <w:rFonts w:asciiTheme="majorHAnsi" w:hAnsiTheme="majorHAnsi" w:cstheme="majorHAnsi"/>
          <w:sz w:val="22"/>
          <w:szCs w:val="22"/>
        </w:rPr>
      </w:pPr>
      <w:r w:rsidRPr="00883040">
        <w:rPr>
          <w:rFonts w:asciiTheme="majorHAnsi" w:hAnsiTheme="majorHAnsi" w:cstheme="majorHAnsi"/>
          <w:sz w:val="22"/>
          <w:szCs w:val="22"/>
        </w:rPr>
        <w:t>DPH (</w:t>
      </w:r>
      <w:permStart w:id="1396450528" w:edGrp="everyone"/>
      <w:proofErr w:type="gramStart"/>
      <w:r w:rsidRPr="00883040">
        <w:rPr>
          <w:rFonts w:asciiTheme="majorHAnsi" w:hAnsiTheme="majorHAnsi" w:cstheme="majorHAnsi"/>
          <w:sz w:val="22"/>
          <w:szCs w:val="22"/>
          <w:highlight w:val="yellow"/>
        </w:rPr>
        <w:t>…..</w:t>
      </w:r>
      <w:permEnd w:id="1396450528"/>
      <w:proofErr w:type="gramEnd"/>
      <w:r w:rsidRPr="00883040">
        <w:rPr>
          <w:rFonts w:asciiTheme="majorHAnsi" w:hAnsiTheme="majorHAnsi" w:cstheme="majorHAnsi"/>
          <w:sz w:val="22"/>
          <w:szCs w:val="22"/>
        </w:rPr>
        <w:t>%):</w:t>
      </w:r>
      <w:r w:rsidRPr="00883040">
        <w:rPr>
          <w:rFonts w:asciiTheme="majorHAnsi" w:hAnsiTheme="majorHAnsi" w:cstheme="majorHAnsi"/>
          <w:sz w:val="22"/>
          <w:szCs w:val="22"/>
        </w:rPr>
        <w:tab/>
      </w:r>
      <w:r w:rsidRPr="00883040">
        <w:rPr>
          <w:rFonts w:asciiTheme="majorHAnsi" w:hAnsiTheme="majorHAnsi" w:cstheme="majorHAnsi"/>
          <w:sz w:val="22"/>
          <w:szCs w:val="22"/>
        </w:rPr>
        <w:tab/>
      </w:r>
      <w:permStart w:id="1009260059" w:edGrp="everyone"/>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ermEnd w:id="1009260059"/>
      <w:proofErr w:type="spellEnd"/>
    </w:p>
    <w:p w14:paraId="114626F0" w14:textId="54A7324A" w:rsidR="008F130E" w:rsidRPr="00883040" w:rsidRDefault="008F130E" w:rsidP="008F130E">
      <w:pPr>
        <w:tabs>
          <w:tab w:val="num" w:pos="426"/>
        </w:tabs>
        <w:ind w:left="426"/>
        <w:jc w:val="both"/>
        <w:rPr>
          <w:rFonts w:asciiTheme="majorHAnsi" w:hAnsiTheme="majorHAnsi" w:cstheme="majorHAnsi"/>
          <w:b/>
          <w:sz w:val="22"/>
          <w:szCs w:val="22"/>
        </w:rPr>
      </w:pPr>
      <w:r w:rsidRPr="00883040">
        <w:rPr>
          <w:rFonts w:asciiTheme="majorHAnsi" w:hAnsiTheme="majorHAnsi" w:cstheme="majorHAnsi"/>
          <w:b/>
          <w:sz w:val="22"/>
          <w:szCs w:val="22"/>
        </w:rPr>
        <w:t xml:space="preserve">Cena </w:t>
      </w:r>
      <w:proofErr w:type="spellStart"/>
      <w:r w:rsidRPr="00883040">
        <w:rPr>
          <w:rFonts w:asciiTheme="majorHAnsi" w:hAnsiTheme="majorHAnsi" w:cstheme="majorHAnsi"/>
          <w:b/>
          <w:sz w:val="22"/>
          <w:szCs w:val="22"/>
        </w:rPr>
        <w:t>včetně</w:t>
      </w:r>
      <w:proofErr w:type="spellEnd"/>
      <w:r w:rsidRPr="00883040">
        <w:rPr>
          <w:rFonts w:asciiTheme="majorHAnsi" w:hAnsiTheme="majorHAnsi" w:cstheme="majorHAnsi"/>
          <w:b/>
          <w:sz w:val="22"/>
          <w:szCs w:val="22"/>
        </w:rPr>
        <w:t xml:space="preserve"> DPH:</w:t>
      </w:r>
      <w:r w:rsidRPr="00883040">
        <w:rPr>
          <w:rFonts w:asciiTheme="majorHAnsi" w:hAnsiTheme="majorHAnsi" w:cstheme="majorHAnsi"/>
          <w:b/>
          <w:sz w:val="22"/>
          <w:szCs w:val="22"/>
        </w:rPr>
        <w:tab/>
      </w:r>
      <w:r w:rsidR="00A4265E">
        <w:rPr>
          <w:rFonts w:asciiTheme="majorHAnsi" w:hAnsiTheme="majorHAnsi" w:cstheme="majorHAnsi"/>
          <w:b/>
          <w:sz w:val="22"/>
          <w:szCs w:val="22"/>
        </w:rPr>
        <w:tab/>
      </w:r>
      <w:permStart w:id="1809611569" w:edGrp="everyone"/>
      <w:proofErr w:type="gramStart"/>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roofErr w:type="gramEnd"/>
      <w:r w:rsidRPr="00883040">
        <w:rPr>
          <w:rFonts w:asciiTheme="majorHAnsi" w:hAnsiTheme="majorHAnsi" w:cstheme="majorHAnsi"/>
          <w:b/>
          <w:sz w:val="22"/>
          <w:szCs w:val="22"/>
        </w:rPr>
        <w:t xml:space="preserve"> </w:t>
      </w:r>
      <w:proofErr w:type="spellStart"/>
      <w:r w:rsidRPr="00883040">
        <w:rPr>
          <w:rFonts w:asciiTheme="majorHAnsi" w:hAnsiTheme="majorHAnsi" w:cstheme="majorHAnsi"/>
          <w:b/>
          <w:sz w:val="22"/>
          <w:szCs w:val="22"/>
        </w:rPr>
        <w:t>Kč</w:t>
      </w:r>
      <w:permEnd w:id="1809611569"/>
      <w:proofErr w:type="spellEnd"/>
    </w:p>
    <w:p w14:paraId="4B5082C7" w14:textId="77777777" w:rsidR="008F130E" w:rsidRPr="00883040" w:rsidRDefault="008F130E" w:rsidP="008F130E">
      <w:pPr>
        <w:tabs>
          <w:tab w:val="num" w:pos="426"/>
        </w:tabs>
        <w:spacing w:after="120"/>
        <w:ind w:left="426"/>
        <w:jc w:val="both"/>
        <w:rPr>
          <w:rFonts w:asciiTheme="majorHAnsi" w:hAnsiTheme="majorHAnsi" w:cstheme="majorHAnsi"/>
          <w:b/>
          <w:sz w:val="22"/>
          <w:szCs w:val="22"/>
        </w:rPr>
      </w:pPr>
      <w:r w:rsidRPr="00883040">
        <w:rPr>
          <w:rFonts w:asciiTheme="majorHAnsi" w:hAnsiTheme="majorHAnsi" w:cstheme="majorHAnsi"/>
          <w:b/>
          <w:sz w:val="22"/>
          <w:szCs w:val="22"/>
        </w:rPr>
        <w:t>(</w:t>
      </w:r>
      <w:proofErr w:type="spellStart"/>
      <w:proofErr w:type="gramStart"/>
      <w:r w:rsidRPr="00883040">
        <w:rPr>
          <w:rFonts w:asciiTheme="majorHAnsi" w:hAnsiTheme="majorHAnsi" w:cstheme="majorHAnsi"/>
          <w:b/>
          <w:sz w:val="22"/>
          <w:szCs w:val="22"/>
        </w:rPr>
        <w:t>slovy</w:t>
      </w:r>
      <w:proofErr w:type="spellEnd"/>
      <w:proofErr w:type="gramEnd"/>
      <w:r w:rsidRPr="00883040">
        <w:rPr>
          <w:rFonts w:asciiTheme="majorHAnsi" w:hAnsiTheme="majorHAnsi" w:cstheme="majorHAnsi"/>
          <w:b/>
          <w:sz w:val="22"/>
          <w:szCs w:val="22"/>
        </w:rPr>
        <w:t xml:space="preserve">: </w:t>
      </w:r>
      <w:permStart w:id="1391293069" w:edGrp="everyone"/>
      <w:r w:rsidRPr="00883040">
        <w:rPr>
          <w:rFonts w:asciiTheme="majorHAnsi" w:hAnsiTheme="majorHAnsi" w:cstheme="majorHAnsi"/>
          <w:b/>
          <w:sz w:val="22"/>
          <w:szCs w:val="22"/>
          <w:highlight w:val="yellow"/>
        </w:rPr>
        <w:t>...........................................................</w:t>
      </w:r>
      <w:permEnd w:id="1391293069"/>
      <w:r w:rsidRPr="00883040">
        <w:rPr>
          <w:rFonts w:asciiTheme="majorHAnsi" w:hAnsiTheme="majorHAnsi" w:cstheme="majorHAnsi"/>
          <w:b/>
          <w:sz w:val="22"/>
          <w:szCs w:val="22"/>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 xml:space="preserve">splatností </w:t>
      </w:r>
      <w:r w:rsidR="00881B6D" w:rsidRPr="00C43792">
        <w:rPr>
          <w:rFonts w:asciiTheme="majorHAnsi" w:eastAsia="Times New Roman" w:hAnsiTheme="majorHAnsi" w:cstheme="majorHAnsi"/>
          <w:iCs/>
          <w:sz w:val="22"/>
          <w:szCs w:val="22"/>
          <w:lang w:val="cs-CZ" w:eastAsia="cs-CZ"/>
        </w:rPr>
        <w:t>30 dnů</w:t>
      </w:r>
      <w:r w:rsidR="00881B6D" w:rsidRPr="00883040">
        <w:rPr>
          <w:rFonts w:asciiTheme="majorHAnsi" w:eastAsia="Times New Roman" w:hAnsiTheme="majorHAnsi" w:cstheme="majorHAnsi"/>
          <w:iCs/>
          <w:sz w:val="22"/>
          <w:szCs w:val="22"/>
          <w:lang w:val="cs-CZ" w:eastAsia="cs-CZ"/>
        </w:rPr>
        <w:t xml:space="preserve">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4AD73B52"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hyperlink r:id="rId9" w:history="1">
        <w:r w:rsidR="0009742C" w:rsidRPr="008C0277">
          <w:rPr>
            <w:rStyle w:val="Hypertextovodkaz"/>
            <w:rFonts w:asciiTheme="majorHAnsi" w:eastAsia="Times New Roman" w:hAnsiTheme="majorHAnsi" w:cstheme="majorHAnsi"/>
            <w:iCs/>
            <w:sz w:val="22"/>
            <w:szCs w:val="22"/>
            <w:lang w:val="cs-CZ" w:eastAsia="cs-CZ"/>
          </w:rPr>
          <w:t>fakturace@nemkyj.cz</w:t>
        </w:r>
      </w:hyperlink>
      <w:r w:rsidR="0009742C">
        <w:rPr>
          <w:rFonts w:asciiTheme="majorHAnsi" w:eastAsia="Times New Roman" w:hAnsiTheme="majorHAnsi" w:cstheme="majorHAnsi"/>
          <w:iCs/>
          <w:sz w:val="22"/>
          <w:szCs w:val="22"/>
          <w:lang w:val="cs-CZ" w:eastAsia="cs-CZ"/>
        </w:rPr>
        <w:t xml:space="preserve">. </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w:t>
      </w:r>
      <w:r w:rsidRPr="00883040">
        <w:rPr>
          <w:rFonts w:asciiTheme="majorHAnsi" w:hAnsiTheme="majorHAnsi" w:cstheme="majorHAnsi"/>
          <w:lang w:eastAsia="cs-CZ"/>
        </w:rPr>
        <w:lastRenderedPageBreak/>
        <w:t xml:space="preserve">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53D7F701"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C43792">
        <w:rPr>
          <w:rFonts w:asciiTheme="majorHAnsi" w:eastAsia="Times New Roman" w:hAnsiTheme="majorHAnsi" w:cstheme="majorHAnsi"/>
          <w:b/>
          <w:u w:val="single"/>
          <w:lang w:eastAsia="cs-CZ"/>
        </w:rPr>
        <w:t>do</w:t>
      </w:r>
      <w:r w:rsidR="002E10A8" w:rsidRPr="00C43792">
        <w:rPr>
          <w:rFonts w:asciiTheme="majorHAnsi" w:eastAsia="Times New Roman" w:hAnsiTheme="majorHAnsi" w:cstheme="majorHAnsi"/>
          <w:b/>
          <w:u w:val="single"/>
          <w:lang w:eastAsia="cs-CZ"/>
        </w:rPr>
        <w:t xml:space="preserve"> </w:t>
      </w:r>
      <w:r w:rsidR="000E2139" w:rsidRPr="00C43792">
        <w:rPr>
          <w:rFonts w:asciiTheme="majorHAnsi" w:eastAsia="Times New Roman" w:hAnsiTheme="majorHAnsi" w:cstheme="majorHAnsi"/>
          <w:b/>
          <w:u w:val="single"/>
          <w:lang w:eastAsia="cs-CZ"/>
        </w:rPr>
        <w:t>90</w:t>
      </w:r>
      <w:r w:rsidR="002F10C2" w:rsidRPr="00C43792">
        <w:rPr>
          <w:rFonts w:asciiTheme="majorHAnsi" w:eastAsia="Times New Roman" w:hAnsiTheme="majorHAnsi" w:cstheme="majorHAnsi"/>
          <w:b/>
          <w:u w:val="single"/>
          <w:lang w:eastAsia="cs-CZ"/>
        </w:rPr>
        <w:t xml:space="preserve"> </w:t>
      </w:r>
      <w:r w:rsidR="00B03E0D" w:rsidRPr="00C43792">
        <w:rPr>
          <w:rFonts w:asciiTheme="majorHAnsi" w:eastAsia="Times New Roman" w:hAnsiTheme="majorHAnsi" w:cstheme="majorHAnsi"/>
          <w:b/>
          <w:u w:val="single"/>
          <w:lang w:eastAsia="cs-CZ"/>
        </w:rPr>
        <w:t>dn</w:t>
      </w:r>
      <w:r w:rsidR="00950815" w:rsidRPr="00C43792">
        <w:rPr>
          <w:rFonts w:asciiTheme="majorHAnsi" w:eastAsia="Times New Roman" w:hAnsiTheme="majorHAnsi" w:cstheme="majorHAnsi"/>
          <w:b/>
          <w:u w:val="single"/>
          <w:lang w:eastAsia="cs-CZ"/>
        </w:rPr>
        <w:t>ů</w:t>
      </w:r>
      <w:r w:rsidR="00950815" w:rsidRPr="00C43792">
        <w:rPr>
          <w:rFonts w:asciiTheme="majorHAnsi" w:eastAsia="Times New Roman" w:hAnsiTheme="majorHAnsi" w:cstheme="majorHAnsi"/>
          <w:b/>
          <w:lang w:eastAsia="cs-CZ"/>
        </w:rPr>
        <w:t xml:space="preserve"> </w:t>
      </w:r>
      <w:r w:rsidR="00950815" w:rsidRPr="000E2139">
        <w:rPr>
          <w:rFonts w:asciiTheme="majorHAnsi" w:eastAsia="Times New Roman" w:hAnsiTheme="majorHAnsi" w:cstheme="majorHAnsi"/>
          <w:b/>
          <w:lang w:eastAsia="cs-CZ"/>
        </w:rPr>
        <w:t>od</w:t>
      </w:r>
      <w:r w:rsidR="00B03E0D" w:rsidRPr="000E2139">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1C7C8B95"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Místem plnění je Nemocnice Kyjov</w:t>
      </w:r>
      <w:r w:rsidR="00A4265E">
        <w:rPr>
          <w:rFonts w:asciiTheme="majorHAnsi" w:eastAsia="Times New Roman" w:hAnsiTheme="majorHAnsi" w:cstheme="majorHAnsi"/>
          <w:lang w:eastAsia="cs-CZ"/>
        </w:rPr>
        <w:t>, příspěvková organizace</w:t>
      </w:r>
      <w:r w:rsidRPr="003D586C">
        <w:rPr>
          <w:rFonts w:asciiTheme="majorHAnsi" w:eastAsia="Times New Roman" w:hAnsiTheme="majorHAnsi" w:cstheme="majorHAnsi"/>
          <w:lang w:eastAsia="cs-CZ"/>
        </w:rPr>
        <w:t xml:space="preserve">, </w:t>
      </w:r>
      <w:r w:rsidR="0009742C" w:rsidRPr="00C43792">
        <w:rPr>
          <w:rFonts w:asciiTheme="majorHAnsi" w:eastAsia="Times New Roman" w:hAnsiTheme="majorHAnsi" w:cstheme="majorHAnsi"/>
          <w:lang w:eastAsia="cs-CZ"/>
        </w:rPr>
        <w:t xml:space="preserve">Pavilon </w:t>
      </w:r>
      <w:proofErr w:type="gramStart"/>
      <w:r w:rsidR="0009742C" w:rsidRPr="00C43792">
        <w:rPr>
          <w:rFonts w:asciiTheme="majorHAnsi" w:eastAsia="Times New Roman" w:hAnsiTheme="majorHAnsi" w:cstheme="majorHAnsi"/>
          <w:lang w:eastAsia="cs-CZ"/>
        </w:rPr>
        <w:t xml:space="preserve">E - </w:t>
      </w:r>
      <w:r w:rsidR="00A4265E" w:rsidRPr="00C43792">
        <w:rPr>
          <w:rFonts w:asciiTheme="majorHAnsi" w:eastAsia="Times New Roman" w:hAnsiTheme="majorHAnsi" w:cstheme="majorHAnsi"/>
          <w:u w:val="single"/>
          <w:lang w:eastAsia="cs-CZ"/>
        </w:rPr>
        <w:t>oční</w:t>
      </w:r>
      <w:proofErr w:type="gramEnd"/>
      <w:r w:rsidR="00A4265E" w:rsidRPr="00C43792">
        <w:rPr>
          <w:rFonts w:asciiTheme="majorHAnsi" w:eastAsia="Times New Roman" w:hAnsiTheme="majorHAnsi" w:cstheme="majorHAnsi"/>
          <w:u w:val="single"/>
          <w:lang w:eastAsia="cs-CZ"/>
        </w:rPr>
        <w:t xml:space="preserve"> operační sál</w:t>
      </w:r>
      <w:r w:rsidR="00A4265E" w:rsidRPr="00C43792">
        <w:rPr>
          <w:rFonts w:asciiTheme="majorHAnsi" w:eastAsia="Times New Roman" w:hAnsiTheme="majorHAnsi" w:cstheme="majorHAnsi"/>
          <w:lang w:eastAsia="cs-CZ"/>
        </w:rPr>
        <w:t>,</w:t>
      </w:r>
      <w:r w:rsidR="00A4265E">
        <w:rPr>
          <w:rFonts w:asciiTheme="majorHAnsi" w:eastAsia="Times New Roman" w:hAnsiTheme="majorHAnsi" w:cstheme="majorHAnsi"/>
          <w:lang w:eastAsia="cs-CZ"/>
        </w:rPr>
        <w:t xml:space="preserve"> </w:t>
      </w:r>
      <w:r w:rsidRPr="003D586C">
        <w:rPr>
          <w:rFonts w:asciiTheme="majorHAnsi" w:eastAsia="Times New Roman" w:hAnsiTheme="majorHAnsi" w:cstheme="majorHAnsi"/>
          <w:lang w:eastAsia="cs-CZ"/>
        </w:rPr>
        <w:t>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w:t>
      </w:r>
      <w:r w:rsidR="000C7557" w:rsidRPr="00883040">
        <w:rPr>
          <w:rFonts w:asciiTheme="majorHAnsi" w:hAnsiTheme="majorHAnsi" w:cstheme="majorHAnsi"/>
          <w:sz w:val="22"/>
          <w:szCs w:val="22"/>
          <w:lang w:val="cs-CZ"/>
        </w:rPr>
        <w:lastRenderedPageBreak/>
        <w:t>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BCFFA46"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7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1898CEA2"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permStart w:id="913382242" w:edGrp="everyone"/>
      <w:r w:rsidR="00A4265E" w:rsidRPr="00A4265E">
        <w:rPr>
          <w:rFonts w:asciiTheme="majorHAnsi" w:hAnsiTheme="majorHAnsi" w:cstheme="majorHAnsi"/>
          <w:highlight w:val="yellow"/>
          <w:lang w:val="cs-CZ"/>
        </w:rPr>
        <w:t>…………………………</w:t>
      </w:r>
      <w:permEnd w:id="913382242"/>
      <w:r w:rsidR="00A4265E">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745042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lastRenderedPageBreak/>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3049CF" w:rsidRDefault="003220DA"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lang w:val="cs-CZ"/>
        </w:rPr>
        <w:t>Prodávající</w:t>
      </w:r>
      <w:r w:rsidR="006549D0" w:rsidRPr="003049CF">
        <w:rPr>
          <w:rFonts w:asciiTheme="majorHAnsi" w:hAnsiTheme="majorHAnsi" w:cstheme="majorHAnsi"/>
          <w:sz w:val="22"/>
          <w:szCs w:val="22"/>
        </w:rPr>
        <w:t xml:space="preserve"> může od této smlouvy odstoupit v případě, že přes písemnou výzvu adresovanou </w:t>
      </w:r>
      <w:r w:rsidRPr="003049CF">
        <w:rPr>
          <w:rFonts w:asciiTheme="majorHAnsi" w:hAnsiTheme="majorHAnsi" w:cstheme="majorHAnsi"/>
          <w:sz w:val="22"/>
          <w:szCs w:val="22"/>
        </w:rPr>
        <w:t>Kupující</w:t>
      </w:r>
      <w:r w:rsidR="006549D0" w:rsidRPr="003049CF">
        <w:rPr>
          <w:rFonts w:asciiTheme="majorHAnsi" w:hAnsiTheme="majorHAnsi" w:cstheme="majorHAnsi"/>
          <w:sz w:val="22"/>
          <w:szCs w:val="22"/>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3049CF">
        <w:rPr>
          <w:rFonts w:asciiTheme="majorHAnsi" w:hAnsiTheme="majorHAnsi" w:cstheme="majorHAnsi"/>
          <w:sz w:val="22"/>
          <w:szCs w:val="22"/>
        </w:rPr>
        <w:t>.</w:t>
      </w:r>
    </w:p>
    <w:p w14:paraId="4EC4F60B" w14:textId="77777777" w:rsidR="003049CF" w:rsidRPr="003049CF" w:rsidRDefault="003049CF" w:rsidP="003049CF">
      <w:pPr>
        <w:widowControl w:val="0"/>
        <w:ind w:left="539"/>
        <w:jc w:val="both"/>
        <w:rPr>
          <w:rFonts w:asciiTheme="majorHAnsi" w:hAnsiTheme="majorHAnsi" w:cstheme="majorHAnsi"/>
          <w:sz w:val="22"/>
          <w:szCs w:val="22"/>
        </w:rPr>
      </w:pPr>
    </w:p>
    <w:p w14:paraId="53425C99" w14:textId="11AD93E1" w:rsidR="006549D0" w:rsidRPr="003049CF" w:rsidRDefault="006549D0"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rPr>
        <w:t>V </w:t>
      </w:r>
      <w:r w:rsidRPr="003049CF">
        <w:rPr>
          <w:rFonts w:asciiTheme="majorHAnsi" w:hAnsiTheme="majorHAnsi" w:cstheme="majorHAnsi"/>
          <w:sz w:val="22"/>
          <w:szCs w:val="22"/>
          <w:lang w:val="cs-CZ"/>
        </w:rPr>
        <w:t>případě</w:t>
      </w:r>
      <w:r w:rsidRPr="003049CF">
        <w:rPr>
          <w:rFonts w:asciiTheme="majorHAnsi" w:hAnsiTheme="majorHAnsi" w:cstheme="majorHAnsi"/>
          <w:sz w:val="22"/>
          <w:szCs w:val="22"/>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5D7C7017" w14:textId="77777777" w:rsidR="004E3A56" w:rsidRDefault="004E3A56" w:rsidP="009F59AE">
      <w:pPr>
        <w:pStyle w:val="Odstavecseseznamem"/>
        <w:widowControl w:val="0"/>
        <w:spacing w:line="240" w:lineRule="auto"/>
        <w:ind w:left="1440"/>
        <w:jc w:val="both"/>
        <w:rPr>
          <w:rFonts w:asciiTheme="majorHAnsi" w:eastAsia="Times New Roman" w:hAnsiTheme="majorHAnsi" w:cstheme="majorHAnsi"/>
          <w:lang w:eastAsia="cs-CZ"/>
        </w:rPr>
      </w:pPr>
    </w:p>
    <w:p w14:paraId="1C03BF34" w14:textId="3106758E"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permStart w:id="1989756301" w:edGrp="everyone"/>
      <w:r w:rsidR="004E3A56" w:rsidRPr="004E3A56">
        <w:rPr>
          <w:rFonts w:asciiTheme="majorHAnsi" w:hAnsiTheme="majorHAnsi" w:cstheme="majorHAnsi"/>
          <w:highlight w:val="yellow"/>
        </w:rPr>
        <w:t>…………………………</w:t>
      </w:r>
      <w:proofErr w:type="gramStart"/>
      <w:r w:rsidR="004E3A56" w:rsidRPr="004E3A56">
        <w:rPr>
          <w:rFonts w:asciiTheme="majorHAnsi" w:hAnsiTheme="majorHAnsi" w:cstheme="majorHAnsi"/>
          <w:highlight w:val="yellow"/>
        </w:rPr>
        <w:t>…….</w:t>
      </w:r>
      <w:proofErr w:type="gramEnd"/>
      <w:r w:rsidR="004E3A56" w:rsidRPr="004E3A56">
        <w:rPr>
          <w:rFonts w:asciiTheme="majorHAnsi" w:hAnsiTheme="majorHAnsi" w:cstheme="majorHAnsi"/>
          <w:highlight w:val="yellow"/>
        </w:rPr>
        <w:t>.</w:t>
      </w:r>
      <w:permEnd w:id="1989756301"/>
    </w:p>
    <w:p w14:paraId="56CAE749" w14:textId="6E4255F5"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permStart w:id="543558663" w:edGrp="everyone"/>
      <w:r w:rsidR="004E3A56" w:rsidRPr="004E3A56">
        <w:rPr>
          <w:rFonts w:asciiTheme="majorHAnsi" w:hAnsiTheme="majorHAnsi" w:cstheme="majorHAnsi"/>
          <w:highlight w:val="yellow"/>
        </w:rPr>
        <w:t>…………………………</w:t>
      </w:r>
      <w:proofErr w:type="gramStart"/>
      <w:r w:rsidR="004E3A56" w:rsidRPr="004E3A56">
        <w:rPr>
          <w:rFonts w:asciiTheme="majorHAnsi" w:hAnsiTheme="majorHAnsi" w:cstheme="majorHAnsi"/>
          <w:highlight w:val="yellow"/>
        </w:rPr>
        <w:t>…….</w:t>
      </w:r>
      <w:proofErr w:type="gramEnd"/>
      <w:r w:rsidR="004E3A56" w:rsidRPr="004E3A56">
        <w:rPr>
          <w:rFonts w:asciiTheme="majorHAnsi" w:hAnsiTheme="majorHAnsi" w:cstheme="majorHAnsi"/>
          <w:highlight w:val="yellow"/>
        </w:rPr>
        <w:t>.</w:t>
      </w:r>
      <w:permEnd w:id="543558663"/>
    </w:p>
    <w:p w14:paraId="2474DF22" w14:textId="08581244"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permStart w:id="910957480" w:edGrp="everyone"/>
      <w:r w:rsidR="004E3A56" w:rsidRPr="004E3A56">
        <w:rPr>
          <w:rFonts w:asciiTheme="majorHAnsi" w:hAnsiTheme="majorHAnsi" w:cstheme="majorHAnsi"/>
          <w:highlight w:val="yellow"/>
        </w:rPr>
        <w:t>…………………………</w:t>
      </w:r>
      <w:proofErr w:type="gramStart"/>
      <w:r w:rsidR="004E3A56" w:rsidRPr="004E3A56">
        <w:rPr>
          <w:rFonts w:asciiTheme="majorHAnsi" w:hAnsiTheme="majorHAnsi" w:cstheme="majorHAnsi"/>
          <w:highlight w:val="yellow"/>
        </w:rPr>
        <w:t>…….</w:t>
      </w:r>
      <w:proofErr w:type="gramEnd"/>
      <w:r w:rsidR="004E3A56" w:rsidRPr="004E3A56">
        <w:rPr>
          <w:rFonts w:asciiTheme="majorHAnsi" w:hAnsiTheme="majorHAnsi" w:cstheme="majorHAnsi"/>
          <w:highlight w:val="yellow"/>
        </w:rPr>
        <w:t>.</w:t>
      </w:r>
      <w:permEnd w:id="910957480"/>
    </w:p>
    <w:p w14:paraId="465E930A" w14:textId="4E9B89AD"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permStart w:id="1400254989" w:edGrp="everyone"/>
      <w:r w:rsidR="004E3A56" w:rsidRPr="004E3A56">
        <w:rPr>
          <w:rFonts w:asciiTheme="majorHAnsi" w:hAnsiTheme="majorHAnsi" w:cstheme="majorHAnsi"/>
          <w:highlight w:val="yellow"/>
        </w:rPr>
        <w:t>…………………………</w:t>
      </w:r>
      <w:proofErr w:type="gramStart"/>
      <w:r w:rsidR="004E3A56" w:rsidRPr="004E3A56">
        <w:rPr>
          <w:rFonts w:asciiTheme="majorHAnsi" w:hAnsiTheme="majorHAnsi" w:cstheme="majorHAnsi"/>
          <w:highlight w:val="yellow"/>
        </w:rPr>
        <w:t>…….</w:t>
      </w:r>
      <w:proofErr w:type="gramEnd"/>
      <w:r w:rsidR="004E3A56" w:rsidRPr="004E3A56">
        <w:rPr>
          <w:rFonts w:asciiTheme="majorHAnsi" w:hAnsiTheme="majorHAnsi" w:cstheme="majorHAnsi"/>
          <w:highlight w:val="yellow"/>
        </w:rPr>
        <w:t>.</w:t>
      </w:r>
      <w:permEnd w:id="1400254989"/>
      <w:r w:rsidR="00B80641" w:rsidRPr="004E3A56">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398AC048" w:rsidR="006549D0" w:rsidRPr="00C43792" w:rsidRDefault="007206E0" w:rsidP="009F59AE">
      <w:pPr>
        <w:widowControl w:val="0"/>
        <w:ind w:left="1440"/>
        <w:jc w:val="both"/>
        <w:rPr>
          <w:rFonts w:asciiTheme="majorHAnsi" w:eastAsia="Times New Roman" w:hAnsiTheme="majorHAnsi" w:cstheme="majorHAnsi"/>
          <w:sz w:val="22"/>
          <w:szCs w:val="22"/>
          <w:lang w:val="cs-CZ" w:eastAsia="cs-CZ"/>
        </w:rPr>
      </w:pPr>
      <w:r w:rsidRPr="00C43792">
        <w:rPr>
          <w:rFonts w:asciiTheme="majorHAnsi" w:eastAsia="Times New Roman" w:hAnsiTheme="majorHAnsi" w:cstheme="majorHAnsi"/>
          <w:sz w:val="22"/>
          <w:szCs w:val="22"/>
          <w:lang w:val="cs-CZ" w:eastAsia="cs-CZ"/>
        </w:rPr>
        <w:t>jméno:</w:t>
      </w:r>
      <w:r w:rsidRPr="00C43792">
        <w:rPr>
          <w:rFonts w:asciiTheme="majorHAnsi" w:eastAsia="Times New Roman" w:hAnsiTheme="majorHAnsi" w:cstheme="majorHAnsi"/>
          <w:sz w:val="22"/>
          <w:szCs w:val="22"/>
          <w:lang w:val="cs-CZ" w:eastAsia="cs-CZ"/>
        </w:rPr>
        <w:tab/>
      </w:r>
      <w:r w:rsidRPr="00C43792">
        <w:rPr>
          <w:rFonts w:asciiTheme="majorHAnsi" w:eastAsia="Times New Roman" w:hAnsiTheme="majorHAnsi" w:cstheme="majorHAnsi"/>
          <w:sz w:val="22"/>
          <w:szCs w:val="22"/>
          <w:lang w:val="cs-CZ" w:eastAsia="cs-CZ"/>
        </w:rPr>
        <w:tab/>
        <w:t xml:space="preserve">            </w:t>
      </w:r>
      <w:r w:rsidR="00E965D5" w:rsidRPr="00C43792">
        <w:rPr>
          <w:rFonts w:asciiTheme="majorHAnsi" w:eastAsia="Times New Roman" w:hAnsiTheme="majorHAnsi" w:cstheme="majorHAnsi"/>
          <w:sz w:val="22"/>
          <w:szCs w:val="22"/>
          <w:lang w:val="cs-CZ" w:eastAsia="cs-CZ"/>
        </w:rPr>
        <w:t xml:space="preserve">  </w:t>
      </w:r>
      <w:r w:rsidR="000E2139" w:rsidRPr="00C43792">
        <w:rPr>
          <w:rFonts w:asciiTheme="majorHAnsi" w:eastAsia="Times New Roman" w:hAnsiTheme="majorHAnsi" w:cstheme="majorHAnsi"/>
          <w:sz w:val="22"/>
          <w:szCs w:val="22"/>
          <w:lang w:val="cs-CZ" w:eastAsia="cs-CZ"/>
        </w:rPr>
        <w:t xml:space="preserve">Ing. Robert </w:t>
      </w:r>
      <w:proofErr w:type="spellStart"/>
      <w:r w:rsidR="000E2139" w:rsidRPr="00C43792">
        <w:rPr>
          <w:rFonts w:asciiTheme="majorHAnsi" w:eastAsia="Times New Roman" w:hAnsiTheme="majorHAnsi" w:cstheme="majorHAnsi"/>
          <w:sz w:val="22"/>
          <w:szCs w:val="22"/>
          <w:lang w:val="cs-CZ" w:eastAsia="cs-CZ"/>
        </w:rPr>
        <w:t>Kundel</w:t>
      </w:r>
      <w:proofErr w:type="spellEnd"/>
    </w:p>
    <w:p w14:paraId="74F80EC7" w14:textId="77777777" w:rsidR="00D502D4" w:rsidRPr="00C43792" w:rsidRDefault="006549D0" w:rsidP="00D502D4">
      <w:pPr>
        <w:widowControl w:val="0"/>
        <w:ind w:left="1440"/>
        <w:jc w:val="both"/>
        <w:rPr>
          <w:rFonts w:asciiTheme="majorHAnsi" w:eastAsia="Times New Roman" w:hAnsiTheme="majorHAnsi" w:cstheme="majorHAnsi"/>
          <w:sz w:val="22"/>
          <w:szCs w:val="22"/>
          <w:lang w:val="cs-CZ" w:eastAsia="cs-CZ"/>
        </w:rPr>
      </w:pPr>
      <w:r w:rsidRPr="00C43792">
        <w:rPr>
          <w:rFonts w:asciiTheme="majorHAnsi" w:eastAsia="Times New Roman" w:hAnsiTheme="majorHAnsi" w:cstheme="majorHAnsi"/>
          <w:sz w:val="22"/>
          <w:szCs w:val="22"/>
          <w:lang w:val="cs-CZ" w:eastAsia="cs-CZ"/>
        </w:rPr>
        <w:t>doručovací adresa:</w:t>
      </w:r>
      <w:r w:rsidRPr="00C43792">
        <w:rPr>
          <w:rFonts w:asciiTheme="majorHAnsi" w:eastAsia="Times New Roman" w:hAnsiTheme="majorHAnsi" w:cstheme="majorHAnsi"/>
          <w:sz w:val="22"/>
          <w:szCs w:val="22"/>
          <w:lang w:val="cs-CZ" w:eastAsia="cs-CZ"/>
        </w:rPr>
        <w:tab/>
      </w:r>
      <w:r w:rsidR="00D502D4" w:rsidRPr="00C43792">
        <w:rPr>
          <w:rFonts w:asciiTheme="majorHAnsi" w:eastAsia="Times New Roman" w:hAnsiTheme="majorHAnsi" w:cstheme="majorHAnsi"/>
          <w:sz w:val="22"/>
          <w:szCs w:val="22"/>
          <w:lang w:val="cs-CZ" w:eastAsia="cs-CZ"/>
        </w:rPr>
        <w:t>Nemocnice Kyjov, příspěvková organizace</w:t>
      </w:r>
    </w:p>
    <w:p w14:paraId="50147A2F" w14:textId="0D93AA47" w:rsidR="00D502D4" w:rsidRPr="00C43792"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C43792">
        <w:rPr>
          <w:rFonts w:asciiTheme="majorHAnsi" w:eastAsia="Times New Roman" w:hAnsiTheme="majorHAnsi" w:cstheme="majorHAnsi"/>
          <w:bCs/>
          <w:color w:val="000000"/>
          <w:spacing w:val="-3"/>
          <w:sz w:val="22"/>
          <w:szCs w:val="22"/>
          <w:lang w:val="cs-CZ" w:eastAsia="cs-CZ"/>
        </w:rPr>
        <w:t>Strážovská 1247/22, 697 01 Kyjov</w:t>
      </w:r>
    </w:p>
    <w:p w14:paraId="78721D6B" w14:textId="73A7C98B" w:rsidR="005B387F" w:rsidRPr="00C43792" w:rsidRDefault="006549D0" w:rsidP="00D502D4">
      <w:pPr>
        <w:widowControl w:val="0"/>
        <w:ind w:left="1440"/>
        <w:jc w:val="both"/>
        <w:rPr>
          <w:rFonts w:asciiTheme="majorHAnsi" w:eastAsia="Times New Roman" w:hAnsiTheme="majorHAnsi" w:cstheme="majorHAnsi"/>
          <w:sz w:val="22"/>
          <w:szCs w:val="22"/>
          <w:lang w:val="cs-CZ" w:eastAsia="cs-CZ"/>
        </w:rPr>
      </w:pPr>
      <w:r w:rsidRPr="00C43792">
        <w:rPr>
          <w:rFonts w:asciiTheme="majorHAnsi" w:eastAsia="Times New Roman" w:hAnsiTheme="majorHAnsi" w:cstheme="majorHAnsi"/>
          <w:sz w:val="22"/>
          <w:szCs w:val="22"/>
          <w:lang w:val="cs-CZ" w:eastAsia="cs-CZ"/>
        </w:rPr>
        <w:t>telefon:</w:t>
      </w:r>
      <w:r w:rsidRPr="00C43792">
        <w:rPr>
          <w:rFonts w:asciiTheme="majorHAnsi" w:eastAsia="Times New Roman" w:hAnsiTheme="majorHAnsi" w:cstheme="majorHAnsi"/>
          <w:sz w:val="22"/>
          <w:szCs w:val="22"/>
          <w:lang w:val="cs-CZ" w:eastAsia="cs-CZ"/>
        </w:rPr>
        <w:tab/>
      </w:r>
      <w:r w:rsidR="00167852" w:rsidRPr="00C43792">
        <w:rPr>
          <w:rFonts w:asciiTheme="majorHAnsi" w:eastAsia="Times New Roman" w:hAnsiTheme="majorHAnsi" w:cstheme="majorHAnsi"/>
          <w:sz w:val="22"/>
          <w:szCs w:val="22"/>
          <w:lang w:val="cs-CZ" w:eastAsia="cs-CZ"/>
        </w:rPr>
        <w:tab/>
      </w:r>
      <w:r w:rsidR="000E2139" w:rsidRPr="00C43792">
        <w:rPr>
          <w:rFonts w:asciiTheme="majorHAnsi" w:eastAsia="Times New Roman" w:hAnsiTheme="majorHAnsi" w:cstheme="majorHAnsi"/>
          <w:sz w:val="22"/>
          <w:szCs w:val="22"/>
          <w:lang w:val="cs-CZ" w:eastAsia="cs-CZ"/>
        </w:rPr>
        <w:t>+420 601 543 826</w:t>
      </w:r>
    </w:p>
    <w:p w14:paraId="34F8B91C" w14:textId="38B8029E"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C43792">
        <w:rPr>
          <w:rFonts w:asciiTheme="majorHAnsi" w:eastAsia="Times New Roman" w:hAnsiTheme="majorHAnsi" w:cstheme="majorHAnsi"/>
          <w:sz w:val="22"/>
          <w:szCs w:val="22"/>
          <w:lang w:val="cs-CZ" w:eastAsia="cs-CZ"/>
        </w:rPr>
        <w:t>e</w:t>
      </w:r>
      <w:r w:rsidR="00A7589C" w:rsidRPr="00C43792">
        <w:rPr>
          <w:rFonts w:asciiTheme="majorHAnsi" w:eastAsia="Times New Roman" w:hAnsiTheme="majorHAnsi" w:cstheme="majorHAnsi"/>
          <w:sz w:val="22"/>
          <w:szCs w:val="22"/>
          <w:lang w:val="cs-CZ" w:eastAsia="cs-CZ"/>
        </w:rPr>
        <w:t>-</w:t>
      </w:r>
      <w:r w:rsidRPr="00C43792">
        <w:rPr>
          <w:rFonts w:asciiTheme="majorHAnsi" w:eastAsia="Times New Roman" w:hAnsiTheme="majorHAnsi" w:cstheme="majorHAnsi"/>
          <w:sz w:val="22"/>
          <w:szCs w:val="22"/>
          <w:lang w:val="cs-CZ" w:eastAsia="cs-CZ"/>
        </w:rPr>
        <w:t>mail:</w:t>
      </w:r>
      <w:r w:rsidRPr="00C43792">
        <w:rPr>
          <w:rFonts w:asciiTheme="majorHAnsi" w:eastAsia="Times New Roman" w:hAnsiTheme="majorHAnsi" w:cstheme="majorHAnsi"/>
          <w:sz w:val="22"/>
          <w:szCs w:val="22"/>
          <w:lang w:val="cs-CZ" w:eastAsia="cs-CZ"/>
        </w:rPr>
        <w:tab/>
      </w:r>
      <w:r w:rsidR="000E2139" w:rsidRPr="00C43792">
        <w:rPr>
          <w:rFonts w:asciiTheme="majorHAnsi" w:eastAsia="Times New Roman" w:hAnsiTheme="majorHAnsi" w:cstheme="majorHAnsi"/>
          <w:sz w:val="22"/>
          <w:szCs w:val="22"/>
          <w:lang w:val="cs-CZ" w:eastAsia="cs-CZ"/>
        </w:rPr>
        <w:tab/>
      </w:r>
      <w:r w:rsidR="000E2139" w:rsidRPr="00C43792">
        <w:rPr>
          <w:rFonts w:asciiTheme="majorHAnsi" w:eastAsia="Times New Roman" w:hAnsiTheme="majorHAnsi" w:cstheme="majorHAnsi"/>
          <w:sz w:val="22"/>
          <w:szCs w:val="22"/>
          <w:lang w:val="cs-CZ" w:eastAsia="cs-CZ"/>
        </w:rPr>
        <w:tab/>
      </w:r>
      <w:hyperlink r:id="rId10" w:history="1">
        <w:r w:rsidR="000E2139" w:rsidRPr="00C43792">
          <w:rPr>
            <w:rStyle w:val="Hypertextovodkaz"/>
            <w:rFonts w:asciiTheme="majorHAnsi" w:eastAsia="Times New Roman" w:hAnsiTheme="majorHAnsi" w:cstheme="majorHAnsi"/>
            <w:sz w:val="22"/>
            <w:szCs w:val="22"/>
            <w:lang w:val="cs-CZ" w:eastAsia="cs-CZ"/>
          </w:rPr>
          <w:t>kundel.robert@nemkyj.cz</w:t>
        </w:r>
      </w:hyperlink>
      <w:r w:rsidR="000E2139" w:rsidRPr="00C43792">
        <w:rPr>
          <w:rFonts w:asciiTheme="majorHAnsi" w:eastAsia="Times New Roman" w:hAnsiTheme="majorHAnsi" w:cstheme="majorHAnsi"/>
          <w:sz w:val="22"/>
          <w:szCs w:val="22"/>
          <w:lang w:val="cs-CZ" w:eastAsia="cs-CZ"/>
        </w:rPr>
        <w:t xml:space="preserve">, </w:t>
      </w:r>
      <w:hyperlink r:id="rId11" w:history="1">
        <w:r w:rsidR="000E2139" w:rsidRPr="00C43792">
          <w:rPr>
            <w:rStyle w:val="Hypertextovodkaz"/>
            <w:rFonts w:asciiTheme="majorHAnsi" w:eastAsia="Times New Roman" w:hAnsiTheme="majorHAnsi" w:cstheme="majorHAnsi"/>
            <w:sz w:val="22"/>
            <w:szCs w:val="22"/>
            <w:lang w:val="cs-CZ" w:eastAsia="cs-CZ"/>
          </w:rPr>
          <w:t>ozt@nemkyj.cz</w:t>
        </w:r>
      </w:hyperlink>
      <w:r w:rsidR="000E2139">
        <w:rPr>
          <w:rFonts w:asciiTheme="majorHAnsi" w:eastAsia="Times New Roman" w:hAnsiTheme="majorHAnsi" w:cstheme="majorHAnsi"/>
          <w:sz w:val="22"/>
          <w:szCs w:val="22"/>
          <w:lang w:val="cs-CZ" w:eastAsia="cs-CZ"/>
        </w:rPr>
        <w:t xml:space="preserve"> </w:t>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1F64BF" w:rsidRDefault="001F64BF" w:rsidP="001F64BF">
      <w:pPr>
        <w:widowControl w:val="0"/>
        <w:ind w:left="0"/>
        <w:jc w:val="both"/>
        <w:rPr>
          <w:rFonts w:asciiTheme="majorHAnsi" w:hAnsiTheme="majorHAnsi" w:cstheme="majorHAnsi"/>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1F64BF" w:rsidRDefault="001F64BF" w:rsidP="001F64BF">
      <w:pPr>
        <w:widowControl w:val="0"/>
        <w:ind w:left="0"/>
        <w:jc w:val="both"/>
        <w:rPr>
          <w:rFonts w:asciiTheme="majorHAnsi" w:hAnsiTheme="majorHAnsi" w:cstheme="majorHAnsi"/>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 xml:space="preserve">Tato změna </w:t>
      </w:r>
      <w:r w:rsidRPr="00883040">
        <w:rPr>
          <w:rFonts w:asciiTheme="majorHAnsi" w:hAnsiTheme="majorHAnsi" w:cstheme="majorHAnsi"/>
        </w:rPr>
        <w:lastRenderedPageBreak/>
        <w:t>není považována za změnu smlouvy a není nutné za tímto účelem uzavírat dodatek ke smlouvě.</w:t>
      </w:r>
    </w:p>
    <w:p w14:paraId="19E1BEC8" w14:textId="77777777" w:rsidR="007C515C" w:rsidRPr="007C515C" w:rsidRDefault="007C515C" w:rsidP="007C515C">
      <w:pPr>
        <w:widowControl w:val="0"/>
        <w:ind w:left="0"/>
        <w:jc w:val="both"/>
        <w:rPr>
          <w:rFonts w:asciiTheme="majorHAnsi" w:eastAsia="Times New Roman" w:hAnsiTheme="majorHAnsi" w:cstheme="majorHAnsi"/>
          <w:lang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w:t>
      </w:r>
      <w:r w:rsidRPr="00883040">
        <w:rPr>
          <w:rFonts w:asciiTheme="majorHAnsi" w:hAnsiTheme="majorHAnsi" w:cstheme="majorHAnsi"/>
          <w:sz w:val="22"/>
          <w:szCs w:val="22"/>
          <w:lang w:val="cs-CZ"/>
        </w:rPr>
        <w:lastRenderedPageBreak/>
        <w:t>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39E7E2EB"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ermStart w:id="1891177739" w:edGrp="everyone"/>
            <w:r w:rsidRPr="000E2139">
              <w:rPr>
                <w:rFonts w:asciiTheme="majorHAnsi" w:eastAsia="Times New Roman" w:hAnsiTheme="majorHAnsi" w:cstheme="majorHAnsi"/>
                <w:sz w:val="22"/>
                <w:szCs w:val="22"/>
                <w:highlight w:val="yellow"/>
                <w:lang w:val="cs-CZ" w:eastAsia="cs-CZ"/>
              </w:rPr>
              <w:t>V </w:t>
            </w:r>
            <w:r w:rsidR="000E2139" w:rsidRPr="000E2139">
              <w:rPr>
                <w:rFonts w:asciiTheme="majorHAnsi" w:eastAsia="Times New Roman" w:hAnsiTheme="majorHAnsi" w:cstheme="majorHAnsi"/>
                <w:b/>
                <w:sz w:val="22"/>
                <w:szCs w:val="22"/>
                <w:highlight w:val="yellow"/>
                <w:lang w:val="cs-CZ" w:eastAsia="cs-CZ"/>
              </w:rPr>
              <w:t xml:space="preserve">………………, </w:t>
            </w:r>
            <w:r w:rsidRPr="000E2139">
              <w:rPr>
                <w:rFonts w:asciiTheme="majorHAnsi" w:eastAsia="Times New Roman" w:hAnsiTheme="majorHAnsi" w:cstheme="majorHAnsi"/>
                <w:sz w:val="22"/>
                <w:szCs w:val="22"/>
                <w:highlight w:val="yellow"/>
                <w:lang w:val="cs-CZ" w:eastAsia="cs-CZ"/>
              </w:rPr>
              <w:t>dne</w:t>
            </w:r>
            <w:r w:rsidR="000E2139" w:rsidRPr="000E2139">
              <w:rPr>
                <w:rFonts w:asciiTheme="majorHAnsi" w:eastAsia="Times New Roman" w:hAnsiTheme="majorHAnsi" w:cstheme="majorHAnsi"/>
                <w:sz w:val="22"/>
                <w:szCs w:val="22"/>
                <w:highlight w:val="yellow"/>
                <w:lang w:val="cs-CZ" w:eastAsia="cs-CZ"/>
              </w:rPr>
              <w:t xml:space="preserve"> …………………</w:t>
            </w:r>
          </w:p>
          <w:permEnd w:id="1891177739"/>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4D2EA69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000E2139">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 dne </w:t>
            </w:r>
            <w:r w:rsidRPr="000E2139">
              <w:rPr>
                <w:rFonts w:asciiTheme="majorHAnsi" w:eastAsia="Times New Roman" w:hAnsiTheme="majorHAnsi" w:cstheme="majorHAnsi"/>
                <w:sz w:val="22"/>
                <w:szCs w:val="2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45961697" w:rsidR="006549D0" w:rsidRPr="00883040" w:rsidRDefault="000E2139" w:rsidP="000E2139">
            <w:pPr>
              <w:widowControl w:val="0"/>
              <w:tabs>
                <w:tab w:val="left" w:pos="0"/>
              </w:tabs>
              <w:ind w:left="0"/>
              <w:rPr>
                <w:rFonts w:asciiTheme="majorHAnsi" w:eastAsia="Times New Roman" w:hAnsiTheme="majorHAnsi" w:cstheme="majorHAnsi"/>
                <w:b/>
                <w:sz w:val="22"/>
                <w:szCs w:val="22"/>
                <w:highlight w:val="yellow"/>
                <w:lang w:val="cs-CZ" w:eastAsia="cs-CZ"/>
              </w:rPr>
            </w:pPr>
            <w:permStart w:id="1577470509" w:edGrp="everyone"/>
            <w:r>
              <w:rPr>
                <w:rFonts w:asciiTheme="majorHAnsi" w:eastAsia="Times New Roman" w:hAnsiTheme="majorHAnsi" w:cstheme="majorHAnsi"/>
                <w:b/>
                <w:sz w:val="22"/>
                <w:szCs w:val="22"/>
                <w:highlight w:val="yellow"/>
                <w:lang w:val="cs-CZ" w:eastAsia="cs-CZ"/>
              </w:rPr>
              <w:t>…………………..</w:t>
            </w:r>
            <w:permEnd w:id="1577470509"/>
          </w:p>
        </w:tc>
        <w:tc>
          <w:tcPr>
            <w:tcW w:w="4606" w:type="dxa"/>
          </w:tcPr>
          <w:p w14:paraId="129FF159" w14:textId="53957055" w:rsidR="006549D0" w:rsidRPr="00883040" w:rsidRDefault="00D038F6" w:rsidP="000E2139">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0F0017EF" w:rsidR="006549D0" w:rsidRPr="00883040" w:rsidRDefault="000E2139" w:rsidP="000E2139">
            <w:pPr>
              <w:widowControl w:val="0"/>
              <w:tabs>
                <w:tab w:val="left" w:pos="540"/>
              </w:tabs>
              <w:ind w:left="0"/>
              <w:rPr>
                <w:rFonts w:asciiTheme="majorHAnsi" w:eastAsia="Times New Roman" w:hAnsiTheme="majorHAnsi" w:cstheme="majorHAnsi"/>
                <w:sz w:val="22"/>
                <w:szCs w:val="22"/>
                <w:highlight w:val="yellow"/>
                <w:lang w:val="cs-CZ" w:eastAsia="cs-CZ"/>
              </w:rPr>
            </w:pPr>
            <w:permStart w:id="1205031182" w:edGrp="everyone"/>
            <w:r>
              <w:rPr>
                <w:rFonts w:asciiTheme="majorHAnsi" w:eastAsia="Times New Roman" w:hAnsiTheme="majorHAnsi" w:cstheme="majorHAnsi"/>
                <w:sz w:val="22"/>
                <w:szCs w:val="22"/>
                <w:highlight w:val="yellow"/>
                <w:lang w:val="cs-CZ" w:eastAsia="cs-CZ"/>
              </w:rPr>
              <w:t>…………………..</w:t>
            </w:r>
            <w:permEnd w:id="1205031182"/>
          </w:p>
        </w:tc>
        <w:tc>
          <w:tcPr>
            <w:tcW w:w="4606" w:type="dxa"/>
          </w:tcPr>
          <w:p w14:paraId="212BA7C9" w14:textId="048E4EAD" w:rsidR="006549D0" w:rsidRPr="00883040" w:rsidRDefault="00DD0173" w:rsidP="000E2139">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0E2139">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626CF5F2" w:rsidR="006549D0" w:rsidRPr="00883040" w:rsidRDefault="003220DA" w:rsidP="000E2139">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2"/>
      <w:footerReference w:type="default" r:id="rId13"/>
      <w:headerReference w:type="first" r:id="rId14"/>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3938" w14:textId="77777777" w:rsidR="002B410B" w:rsidRDefault="002B410B" w:rsidP="003220DA">
      <w:r>
        <w:separator/>
      </w:r>
    </w:p>
  </w:endnote>
  <w:endnote w:type="continuationSeparator" w:id="0">
    <w:p w14:paraId="67119F25" w14:textId="77777777" w:rsidR="002B410B" w:rsidRDefault="002B410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00AC" w14:textId="77777777" w:rsidR="002B410B" w:rsidRDefault="002B410B" w:rsidP="003220DA">
      <w:r>
        <w:separator/>
      </w:r>
    </w:p>
  </w:footnote>
  <w:footnote w:type="continuationSeparator" w:id="0">
    <w:p w14:paraId="4FFC9DE3" w14:textId="77777777" w:rsidR="002B410B" w:rsidRDefault="002B410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D36C6A"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sidRPr="00D36C6A">
      <w:rPr>
        <w:rFonts w:asciiTheme="majorHAnsi" w:hAnsiTheme="majorHAnsi" w:cstheme="majorHAnsi"/>
        <w:b/>
        <w:lang w:val="cs-CZ"/>
      </w:rPr>
      <w:t>Číslo smlouvy prodávajícího:</w:t>
    </w:r>
    <w:permStart w:id="1187386023" w:edGrp="everyone"/>
    <w:r w:rsidRPr="00D36C6A">
      <w:rPr>
        <w:rFonts w:asciiTheme="majorHAnsi" w:hAnsiTheme="majorHAnsi" w:cstheme="majorHAnsi"/>
        <w:b/>
        <w:lang w:val="cs-CZ"/>
      </w:rPr>
      <w:tab/>
    </w:r>
    <w:permEnd w:id="1187386023"/>
    <w:r w:rsidRPr="00D36C6A">
      <w:rPr>
        <w:rFonts w:asciiTheme="majorHAnsi" w:hAnsiTheme="majorHAnsi" w:cstheme="majorHAnsi"/>
        <w:b/>
        <w:lang w:val="cs-CZ"/>
      </w:rPr>
      <w:t xml:space="preserve">                                      Číslo smlouvy kupujícího:</w:t>
    </w:r>
    <w:r w:rsidRPr="00D36C6A">
      <w:rPr>
        <w:rFonts w:asciiTheme="majorHAnsi" w:hAnsiTheme="majorHAnsi" w:cstheme="majorHAnsi"/>
        <w:b/>
        <w:lang w:val="cs-CZ"/>
      </w:rPr>
      <w:tab/>
      <w:t xml:space="preserve">  </w:t>
    </w:r>
  </w:p>
  <w:p w14:paraId="4EDF7BD5" w14:textId="77777777" w:rsidR="0057231D" w:rsidRPr="00D36C6A" w:rsidRDefault="0057231D" w:rsidP="0057231D">
    <w:pPr>
      <w:pStyle w:val="Zhlav"/>
      <w:tabs>
        <w:tab w:val="clear" w:pos="4536"/>
        <w:tab w:val="left" w:pos="1701"/>
        <w:tab w:val="left" w:pos="2127"/>
      </w:tabs>
      <w:rPr>
        <w:rFonts w:ascii="Arial" w:hAnsi="Arial" w:cs="Arial"/>
        <w:b/>
        <w:sz w:val="16"/>
        <w:szCs w:val="16"/>
        <w:lang w:val="cs-CZ"/>
      </w:rPr>
    </w:pPr>
  </w:p>
  <w:p w14:paraId="6E9E6EBF" w14:textId="77777777" w:rsidR="0057231D" w:rsidRPr="00D36C6A" w:rsidRDefault="0057231D" w:rsidP="0057231D">
    <w:pPr>
      <w:pStyle w:val="Zhlav"/>
      <w:tabs>
        <w:tab w:val="clear" w:pos="4536"/>
        <w:tab w:val="left" w:pos="1701"/>
        <w:tab w:val="left" w:pos="2127"/>
      </w:tabs>
      <w:rPr>
        <w:rFonts w:ascii="Arial" w:hAnsi="Arial" w:cs="Arial"/>
        <w:b/>
        <w:sz w:val="16"/>
        <w:szCs w:val="16"/>
        <w:lang w:val="cs-CZ"/>
      </w:rPr>
    </w:pPr>
  </w:p>
  <w:p w14:paraId="4F0B8375" w14:textId="1E7E768B" w:rsidR="0057231D" w:rsidRPr="00D36C6A" w:rsidRDefault="0057231D" w:rsidP="00D36C6A">
    <w:pPr>
      <w:rPr>
        <w:rFonts w:asciiTheme="majorHAnsi" w:hAnsiTheme="majorHAnsi" w:cstheme="majorHAnsi"/>
        <w:bCs/>
        <w:sz w:val="16"/>
        <w:szCs w:val="16"/>
        <w:lang w:val="cs-CZ"/>
      </w:rPr>
    </w:pPr>
    <w:r w:rsidRPr="00D36C6A">
      <w:rPr>
        <w:rFonts w:asciiTheme="majorHAnsi" w:hAnsiTheme="majorHAnsi" w:cstheme="majorHAnsi"/>
        <w:b/>
        <w:sz w:val="16"/>
        <w:szCs w:val="16"/>
        <w:lang w:val="cs-CZ"/>
      </w:rPr>
      <w:t>Název veřejné zakázky</w:t>
    </w:r>
    <w:r w:rsidRPr="00D36C6A">
      <w:rPr>
        <w:rFonts w:asciiTheme="majorHAnsi" w:hAnsiTheme="majorHAnsi" w:cstheme="majorHAnsi"/>
        <w:bCs/>
        <w:sz w:val="16"/>
        <w:szCs w:val="16"/>
        <w:lang w:val="cs-CZ"/>
      </w:rPr>
      <w:t xml:space="preserve">: </w:t>
    </w:r>
    <w:r w:rsidR="00D36C6A">
      <w:rPr>
        <w:rFonts w:asciiTheme="majorHAnsi" w:hAnsiTheme="majorHAnsi" w:cstheme="majorHAnsi"/>
        <w:bCs/>
        <w:sz w:val="16"/>
        <w:szCs w:val="16"/>
        <w:lang w:val="cs-CZ"/>
      </w:rPr>
      <w:tab/>
    </w:r>
    <w:r w:rsidR="00D36C6A" w:rsidRPr="00D36C6A">
      <w:rPr>
        <w:rFonts w:asciiTheme="majorHAnsi" w:hAnsiTheme="majorHAnsi" w:cstheme="majorHAnsi"/>
        <w:bCs/>
        <w:sz w:val="16"/>
        <w:szCs w:val="16"/>
        <w:lang w:val="cs-CZ"/>
      </w:rPr>
      <w:t>Operační stůl pro oční sál</w:t>
    </w:r>
  </w:p>
  <w:p w14:paraId="437941C3" w14:textId="155CA575" w:rsidR="0057231D" w:rsidRPr="00D36C6A" w:rsidRDefault="0057231D" w:rsidP="00D36C6A">
    <w:pPr>
      <w:pStyle w:val="Zhlav"/>
      <w:tabs>
        <w:tab w:val="clear" w:pos="4536"/>
        <w:tab w:val="clear" w:pos="9072"/>
      </w:tabs>
      <w:spacing w:after="240"/>
      <w:rPr>
        <w:rFonts w:asciiTheme="majorHAnsi" w:hAnsiTheme="majorHAnsi" w:cstheme="majorHAnsi"/>
        <w:sz w:val="16"/>
        <w:szCs w:val="16"/>
        <w:lang w:val="cs-CZ"/>
      </w:rPr>
    </w:pPr>
    <w:r w:rsidRPr="00D36C6A">
      <w:rPr>
        <w:rFonts w:asciiTheme="majorHAnsi" w:hAnsiTheme="majorHAnsi" w:cstheme="majorHAnsi"/>
        <w:b/>
        <w:sz w:val="16"/>
        <w:szCs w:val="16"/>
        <w:lang w:val="cs-CZ"/>
      </w:rPr>
      <w:t xml:space="preserve">Číslo veřejné zakázky: </w:t>
    </w:r>
    <w:r w:rsidR="00D36C6A">
      <w:rPr>
        <w:rFonts w:asciiTheme="majorHAnsi" w:hAnsiTheme="majorHAnsi" w:cstheme="majorHAnsi"/>
        <w:b/>
        <w:sz w:val="16"/>
        <w:szCs w:val="16"/>
        <w:lang w:val="cs-CZ"/>
      </w:rPr>
      <w:tab/>
    </w:r>
    <w:r w:rsidR="00C43792" w:rsidRPr="00C43792">
      <w:rPr>
        <w:rFonts w:asciiTheme="majorHAnsi" w:hAnsiTheme="majorHAnsi" w:cstheme="majorHAnsi"/>
        <w:bCs/>
        <w:sz w:val="16"/>
        <w:szCs w:val="16"/>
        <w:lang w:val="cs-CZ"/>
      </w:rPr>
      <w:t>VZ202530</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7576D00"/>
    <w:multiLevelType w:val="hybridMultilevel"/>
    <w:tmpl w:val="AA1CA32E"/>
    <w:lvl w:ilvl="0" w:tplc="04050001">
      <w:start w:val="1"/>
      <w:numFmt w:val="bullet"/>
      <w:lvlText w:val=""/>
      <w:lvlJc w:val="left"/>
      <w:pPr>
        <w:ind w:left="1505" w:hanging="360"/>
      </w:pPr>
      <w:rPr>
        <w:rFonts w:ascii="Symbol" w:hAnsi="Symbol"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13"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6"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7"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643D327C"/>
    <w:multiLevelType w:val="hybridMultilevel"/>
    <w:tmpl w:val="E34216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9"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0"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1"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3"/>
  </w:num>
  <w:num w:numId="2" w16cid:durableId="321470629">
    <w:abstractNumId w:val="6"/>
  </w:num>
  <w:num w:numId="3" w16cid:durableId="243998190">
    <w:abstractNumId w:val="15"/>
  </w:num>
  <w:num w:numId="4" w16cid:durableId="2140418606">
    <w:abstractNumId w:val="27"/>
  </w:num>
  <w:num w:numId="5" w16cid:durableId="1472092345">
    <w:abstractNumId w:val="31"/>
  </w:num>
  <w:num w:numId="6" w16cid:durableId="632247889">
    <w:abstractNumId w:val="0"/>
  </w:num>
  <w:num w:numId="7" w16cid:durableId="1483697444">
    <w:abstractNumId w:val="22"/>
  </w:num>
  <w:num w:numId="8" w16cid:durableId="1854759002">
    <w:abstractNumId w:val="39"/>
  </w:num>
  <w:num w:numId="9" w16cid:durableId="990250573">
    <w:abstractNumId w:val="36"/>
  </w:num>
  <w:num w:numId="10" w16cid:durableId="1418407385">
    <w:abstractNumId w:val="26"/>
  </w:num>
  <w:num w:numId="11" w16cid:durableId="1078284091">
    <w:abstractNumId w:val="34"/>
  </w:num>
  <w:num w:numId="12" w16cid:durableId="279994269">
    <w:abstractNumId w:val="13"/>
  </w:num>
  <w:num w:numId="13" w16cid:durableId="1146320241">
    <w:abstractNumId w:val="23"/>
  </w:num>
  <w:num w:numId="14" w16cid:durableId="1675721610">
    <w:abstractNumId w:val="8"/>
  </w:num>
  <w:num w:numId="15" w16cid:durableId="1328828430">
    <w:abstractNumId w:val="32"/>
  </w:num>
  <w:num w:numId="16" w16cid:durableId="1212771092">
    <w:abstractNumId w:val="42"/>
  </w:num>
  <w:num w:numId="17" w16cid:durableId="1863275127">
    <w:abstractNumId w:val="25"/>
  </w:num>
  <w:num w:numId="18" w16cid:durableId="1391031248">
    <w:abstractNumId w:val="14"/>
  </w:num>
  <w:num w:numId="19" w16cid:durableId="1831167825">
    <w:abstractNumId w:val="3"/>
  </w:num>
  <w:num w:numId="20" w16cid:durableId="1358000758">
    <w:abstractNumId w:val="20"/>
  </w:num>
  <w:num w:numId="21" w16cid:durableId="147795265">
    <w:abstractNumId w:val="7"/>
  </w:num>
  <w:num w:numId="22" w16cid:durableId="1553074489">
    <w:abstractNumId w:val="10"/>
  </w:num>
  <w:num w:numId="23" w16cid:durableId="2087141163">
    <w:abstractNumId w:val="5"/>
  </w:num>
  <w:num w:numId="24" w16cid:durableId="621351204">
    <w:abstractNumId w:val="37"/>
  </w:num>
  <w:num w:numId="25" w16cid:durableId="973488633">
    <w:abstractNumId w:val="28"/>
  </w:num>
  <w:num w:numId="26" w16cid:durableId="1010640799">
    <w:abstractNumId w:val="41"/>
  </w:num>
  <w:num w:numId="27" w16cid:durableId="1027409852">
    <w:abstractNumId w:val="19"/>
  </w:num>
  <w:num w:numId="28" w16cid:durableId="294718209">
    <w:abstractNumId w:val="21"/>
  </w:num>
  <w:num w:numId="29" w16cid:durableId="1083792773">
    <w:abstractNumId w:val="44"/>
  </w:num>
  <w:num w:numId="30" w16cid:durableId="39018009">
    <w:abstractNumId w:val="24"/>
  </w:num>
  <w:num w:numId="31" w16cid:durableId="1216048295">
    <w:abstractNumId w:val="30"/>
  </w:num>
  <w:num w:numId="32" w16cid:durableId="1012955523">
    <w:abstractNumId w:val="35"/>
  </w:num>
  <w:num w:numId="33" w16cid:durableId="1623460720">
    <w:abstractNumId w:val="18"/>
  </w:num>
  <w:num w:numId="34" w16cid:durableId="1045906074">
    <w:abstractNumId w:val="4"/>
  </w:num>
  <w:num w:numId="35" w16cid:durableId="1900938530">
    <w:abstractNumId w:val="40"/>
  </w:num>
  <w:num w:numId="36" w16cid:durableId="1807773919">
    <w:abstractNumId w:val="1"/>
  </w:num>
  <w:num w:numId="37" w16cid:durableId="189682162">
    <w:abstractNumId w:val="16"/>
  </w:num>
  <w:num w:numId="38" w16cid:durableId="1267422793">
    <w:abstractNumId w:val="33"/>
  </w:num>
  <w:num w:numId="39" w16cid:durableId="1471895600">
    <w:abstractNumId w:val="11"/>
  </w:num>
  <w:num w:numId="40" w16cid:durableId="605620434">
    <w:abstractNumId w:val="9"/>
  </w:num>
  <w:num w:numId="41" w16cid:durableId="1171410101">
    <w:abstractNumId w:val="2"/>
  </w:num>
  <w:num w:numId="42" w16cid:durableId="1000694993">
    <w:abstractNumId w:val="17"/>
  </w:num>
  <w:num w:numId="43" w16cid:durableId="1891264149">
    <w:abstractNumId w:val="29"/>
  </w:num>
  <w:num w:numId="44" w16cid:durableId="2013289438">
    <w:abstractNumId w:val="12"/>
  </w:num>
  <w:num w:numId="45" w16cid:durableId="151502529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q+K3nLyKJX1rEt7hAHei+TFekBd4Q1ofzHWKhR8podEYOmdweYdlB6vLNELTeET6+9XRHbuuekweAeEqFN3bg==" w:salt="b/iIySViehQI77bLPlzH/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9742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39"/>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871F7"/>
    <w:rsid w:val="001927BB"/>
    <w:rsid w:val="00194128"/>
    <w:rsid w:val="00194DD2"/>
    <w:rsid w:val="001950E0"/>
    <w:rsid w:val="001A04F0"/>
    <w:rsid w:val="001A1E36"/>
    <w:rsid w:val="001A2CAD"/>
    <w:rsid w:val="001A41F7"/>
    <w:rsid w:val="001B476A"/>
    <w:rsid w:val="001C26A9"/>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3A56"/>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5C7D"/>
    <w:rsid w:val="006C7A90"/>
    <w:rsid w:val="006D0697"/>
    <w:rsid w:val="006E385F"/>
    <w:rsid w:val="006E4782"/>
    <w:rsid w:val="006F3CC1"/>
    <w:rsid w:val="006F58A0"/>
    <w:rsid w:val="00700CCB"/>
    <w:rsid w:val="00701236"/>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27B"/>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5C1E"/>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265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43792"/>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5CDC"/>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0DE2"/>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6C6A"/>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699"/>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0E2139"/>
    <w:rPr>
      <w:color w:val="0563C1" w:themeColor="hyperlink"/>
      <w:u w:val="single"/>
    </w:rPr>
  </w:style>
  <w:style w:type="character" w:styleId="Nevyeenzmnka">
    <w:name w:val="Unresolved Mention"/>
    <w:basedOn w:val="Standardnpsmoodstavce"/>
    <w:uiPriority w:val="99"/>
    <w:semiHidden/>
    <w:unhideWhenUsed/>
    <w:rsid w:val="000E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t@nemky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ndel.robert@nemkyj.cz" TargetMode="Externa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5820</Words>
  <Characters>34340</Characters>
  <Application>Microsoft Office Word</Application>
  <DocSecurity>8</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Ing. ŠAFÁŘOVÁ Eva</cp:lastModifiedBy>
  <cp:revision>3</cp:revision>
  <dcterms:created xsi:type="dcterms:W3CDTF">2025-05-12T07:48:00Z</dcterms:created>
  <dcterms:modified xsi:type="dcterms:W3CDTF">2025-05-12T07:50:00Z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