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6A05C745"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t>Léčivý přípravek s</w:t>
      </w:r>
      <w:r w:rsidR="002010A5">
        <w:rPr>
          <w:rFonts w:ascii="Calibri Light" w:hAnsi="Calibri Light" w:cs="Calibri Light"/>
          <w:b/>
          <w:color w:val="000000"/>
          <w:sz w:val="20"/>
          <w:szCs w:val="20"/>
        </w:rPr>
        <w:t> obsahem účinné látky</w:t>
      </w:r>
      <w:r w:rsidR="00521ECF">
        <w:rPr>
          <w:rFonts w:ascii="Calibri Light" w:hAnsi="Calibri Light" w:cs="Calibri Light"/>
          <w:b/>
          <w:color w:val="000000"/>
          <w:sz w:val="20"/>
          <w:szCs w:val="20"/>
        </w:rPr>
        <w:t xml:space="preserve"> </w:t>
      </w:r>
      <w:r w:rsidR="00CF6821">
        <w:rPr>
          <w:rFonts w:ascii="Calibri Light" w:hAnsi="Calibri Light" w:cs="Calibri Light"/>
          <w:b/>
          <w:color w:val="000000"/>
          <w:sz w:val="20"/>
          <w:szCs w:val="20"/>
        </w:rPr>
        <w:t>SODNÁ SŮL ENOXAPARINU</w:t>
      </w:r>
      <w:r w:rsidRPr="006B01DA">
        <w:rPr>
          <w:rFonts w:ascii="Calibri Light" w:hAnsi="Calibri Light" w:cs="Calibri Light"/>
          <w:b/>
          <w:color w:val="000000"/>
          <w:sz w:val="20"/>
          <w:szCs w:val="20"/>
        </w:rPr>
        <w:t xml:space="preserve">     </w:t>
      </w:r>
    </w:p>
    <w:p w14:paraId="7B064801" w14:textId="6CD5B667" w:rsidR="00CF6821" w:rsidRPr="00CD718E" w:rsidRDefault="00C97C99" w:rsidP="00D83209">
      <w:pPr>
        <w:jc w:val="both"/>
        <w:rPr>
          <w:rFonts w:ascii="Calibri Light" w:hAnsi="Calibri Light" w:cs="Calibri Light"/>
          <w:b/>
          <w:bCs/>
          <w:color w:val="000000"/>
          <w:sz w:val="20"/>
          <w:szCs w:val="20"/>
        </w:rPr>
      </w:pPr>
      <w:r w:rsidRPr="00CD718E">
        <w:rPr>
          <w:rFonts w:ascii="Calibri Light" w:hAnsi="Calibri Light" w:cs="Calibri Light"/>
          <w:b/>
          <w:color w:val="000000"/>
          <w:sz w:val="20"/>
          <w:szCs w:val="20"/>
        </w:rPr>
        <w:t>Ev</w:t>
      </w:r>
      <w:r w:rsidRPr="00CD718E">
        <w:rPr>
          <w:rFonts w:ascii="Calibri Light" w:hAnsi="Calibri Light" w:cs="Calibri Light"/>
          <w:b/>
          <w:bCs/>
          <w:color w:val="000000"/>
          <w:sz w:val="20"/>
          <w:szCs w:val="20"/>
        </w:rPr>
        <w:t>idenční číslo zadavatele:</w:t>
      </w:r>
      <w:r w:rsidR="00AE7E84">
        <w:rPr>
          <w:rFonts w:ascii="Calibri Light" w:hAnsi="Calibri Light" w:cs="Calibri Light"/>
          <w:b/>
          <w:bCs/>
          <w:color w:val="000000"/>
          <w:sz w:val="20"/>
          <w:szCs w:val="20"/>
        </w:rPr>
        <w:tab/>
        <w:t>VZ202527</w:t>
      </w:r>
    </w:p>
    <w:p w14:paraId="2EF9A29E" w14:textId="24963888" w:rsidR="00C97C99" w:rsidRPr="006B01DA" w:rsidRDefault="00CF6821" w:rsidP="00D83209">
      <w:pPr>
        <w:jc w:val="both"/>
        <w:rPr>
          <w:rFonts w:ascii="Calibri Light" w:hAnsi="Calibri Light" w:cs="Calibri Light"/>
          <w:sz w:val="20"/>
          <w:szCs w:val="20"/>
        </w:rPr>
      </w:pPr>
      <w:r w:rsidRPr="00CD718E">
        <w:rPr>
          <w:rFonts w:ascii="Calibri Light" w:hAnsi="Calibri Light" w:cs="Calibri Light"/>
          <w:b/>
          <w:bCs/>
          <w:color w:val="000000"/>
          <w:sz w:val="20"/>
          <w:szCs w:val="20"/>
        </w:rPr>
        <w:t>Evidenční číslo ve VVZ:</w:t>
      </w:r>
      <w:r>
        <w:rPr>
          <w:rFonts w:ascii="Calibri Light" w:hAnsi="Calibri Light" w:cs="Calibri Light"/>
          <w:b/>
          <w:bCs/>
          <w:color w:val="000000"/>
          <w:sz w:val="20"/>
          <w:szCs w:val="20"/>
        </w:rPr>
        <w:t xml:space="preserve"> </w:t>
      </w:r>
      <w:r w:rsidR="00D83209">
        <w:rPr>
          <w:rFonts w:ascii="Calibri Light" w:hAnsi="Calibri Light" w:cs="Calibri Light"/>
          <w:b/>
          <w:bCs/>
          <w:color w:val="000000"/>
          <w:sz w:val="20"/>
          <w:szCs w:val="20"/>
        </w:rPr>
        <w:tab/>
      </w:r>
      <w:r w:rsidR="00AD1A68">
        <w:rPr>
          <w:rFonts w:ascii="Calibri Light" w:hAnsi="Calibri Light" w:cs="Calibri Light"/>
          <w:b/>
          <w:bCs/>
          <w:color w:val="000000"/>
          <w:sz w:val="20"/>
          <w:szCs w:val="20"/>
        </w:rPr>
        <w:tab/>
      </w:r>
      <w:r w:rsidR="00AD1A68" w:rsidRPr="00AD1A68">
        <w:rPr>
          <w:rFonts w:ascii="Calibri Light" w:hAnsi="Calibri Light" w:cs="Calibri Light"/>
          <w:b/>
          <w:bCs/>
          <w:color w:val="000000"/>
          <w:sz w:val="20"/>
          <w:szCs w:val="20"/>
        </w:rPr>
        <w:t>Z2025-025991</w:t>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70313222"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 xml:space="preserve">Jména osob oprávněných za </w:t>
      </w:r>
      <w:r w:rsidR="0085167D">
        <w:rPr>
          <w:rFonts w:ascii="Calibri Light" w:hAnsi="Calibri Light" w:cs="Calibri Light"/>
        </w:rPr>
        <w:t>kupujícího</w:t>
      </w:r>
      <w:r w:rsidRPr="00856AB7">
        <w:rPr>
          <w:rFonts w:ascii="Calibri Light" w:hAnsi="Calibri Light" w:cs="Calibri Light"/>
        </w:rPr>
        <w:t xml:space="preserve"> jednat: MUDr. Jiří Vyhnal, ředitel</w:t>
      </w:r>
    </w:p>
    <w:p w14:paraId="682AE586" w14:textId="1E879BAC" w:rsidR="00231583" w:rsidRPr="00856AB7" w:rsidRDefault="009468BE" w:rsidP="00CD0DFA">
      <w:pPr>
        <w:spacing w:after="120" w:line="240" w:lineRule="auto"/>
        <w:ind w:left="1560" w:hanging="1560"/>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r w:rsidR="00CD0DFA">
        <w:rPr>
          <w:rFonts w:ascii="Calibri Light" w:eastAsia="Calibri" w:hAnsi="Calibri Light" w:cs="Calibri Light"/>
          <w:iCs/>
          <w:snapToGrid w:val="0"/>
        </w:rPr>
        <w:t>Ing. Igor Michalík, MBA</w:t>
      </w:r>
      <w:r w:rsidR="00A70710" w:rsidRPr="004E1385">
        <w:rPr>
          <w:rFonts w:ascii="Calibri Light" w:eastAsia="Calibri" w:hAnsi="Calibri Light" w:cs="Calibri Light"/>
          <w:iCs/>
          <w:snapToGrid w:val="0"/>
          <w:color w:val="000000"/>
        </w:rPr>
        <w:t xml:space="preserve">, </w:t>
      </w:r>
      <w:r w:rsidR="00CD0DFA">
        <w:rPr>
          <w:rFonts w:ascii="Calibri Light" w:eastAsia="Calibri" w:hAnsi="Calibri Light" w:cs="Calibri Light"/>
          <w:iCs/>
          <w:snapToGrid w:val="0"/>
          <w:color w:val="000000"/>
        </w:rPr>
        <w:t>vedoucí obchodního úseku</w:t>
      </w:r>
      <w:r w:rsidR="001D3BAF" w:rsidRPr="004E1385">
        <w:rPr>
          <w:rFonts w:ascii="Calibri Light" w:eastAsia="Calibri" w:hAnsi="Calibri Light" w:cs="Calibri Light"/>
          <w:iCs/>
          <w:snapToGrid w:val="0"/>
          <w:color w:val="000000"/>
        </w:rPr>
        <w:t>,</w:t>
      </w:r>
      <w:r w:rsidR="00856AB7" w:rsidRPr="004E1385">
        <w:rPr>
          <w:rFonts w:ascii="Calibri Light" w:eastAsia="Calibri" w:hAnsi="Calibri Light" w:cs="Calibri Light"/>
          <w:iCs/>
          <w:snapToGrid w:val="0"/>
          <w:color w:val="000000"/>
        </w:rPr>
        <w:t xml:space="preserve"> </w:t>
      </w:r>
      <w:r w:rsidR="008C1EFF" w:rsidRPr="004E1385">
        <w:rPr>
          <w:rFonts w:ascii="Calibri Light" w:eastAsia="Calibri" w:hAnsi="Calibri Light" w:cs="Calibri Light"/>
          <w:iCs/>
          <w:snapToGrid w:val="0"/>
          <w:color w:val="000000"/>
        </w:rPr>
        <w:t>e</w:t>
      </w:r>
      <w:r w:rsidR="001D3BAF" w:rsidRPr="004E1385">
        <w:rPr>
          <w:rFonts w:ascii="Calibri Light" w:eastAsia="Calibri" w:hAnsi="Calibri Light" w:cs="Calibri Light"/>
          <w:iCs/>
          <w:snapToGrid w:val="0"/>
          <w:color w:val="000000"/>
        </w:rPr>
        <w:t>-mail:</w:t>
      </w:r>
      <w:r w:rsidR="004E1385" w:rsidRPr="004E1385">
        <w:rPr>
          <w:rFonts w:ascii="Calibri Light" w:eastAsia="Calibri" w:hAnsi="Calibri Light" w:cs="Calibri Light"/>
          <w:iCs/>
          <w:snapToGrid w:val="0"/>
          <w:color w:val="000000"/>
        </w:rPr>
        <w:t xml:space="preserve"> </w:t>
      </w:r>
      <w:hyperlink r:id="rId10" w:history="1">
        <w:r w:rsidR="00CD0DFA" w:rsidRPr="005C0518">
          <w:rPr>
            <w:rStyle w:val="Hypertextovodkaz"/>
            <w:rFonts w:ascii="Calibri Light" w:eastAsia="Calibri" w:hAnsi="Calibri Light" w:cs="Calibri Light"/>
            <w:iCs/>
            <w:snapToGrid w:val="0"/>
          </w:rPr>
          <w:t>michalik.igor@nemkyj.cz</w:t>
        </w:r>
      </w:hyperlink>
      <w:r w:rsidR="001D3BAF" w:rsidRPr="004E1385">
        <w:rPr>
          <w:rFonts w:ascii="Calibri Light" w:eastAsia="Calibri" w:hAnsi="Calibri Light" w:cs="Calibri Light"/>
          <w:iCs/>
          <w:snapToGrid w:val="0"/>
          <w:color w:val="000000"/>
        </w:rPr>
        <w:t xml:space="preserve">, telefon: </w:t>
      </w:r>
      <w:bookmarkEnd w:id="0"/>
      <w:r w:rsidR="00CD0DFA" w:rsidRPr="00CD0DFA">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permStart w:id="571565466" w:edGrp="everyone"/>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ermEnd w:id="571565466"/>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29B07A03"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CD0DFA">
        <w:rPr>
          <w:rFonts w:ascii="Calibri Light" w:eastAsia="Calibri" w:hAnsi="Calibri Light" w:cs="Calibri Light"/>
          <w:b/>
        </w:rPr>
        <w:t>VZ</w:t>
      </w:r>
      <w:r w:rsidR="00CD0DFA" w:rsidRPr="00CD0DFA">
        <w:rPr>
          <w:rFonts w:ascii="Calibri Light" w:eastAsia="Calibri" w:hAnsi="Calibri Light" w:cs="Calibri Light"/>
          <w:b/>
        </w:rPr>
        <w:t>202527</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CF6821">
        <w:rPr>
          <w:rFonts w:ascii="Calibri Light" w:eastAsia="Calibri" w:hAnsi="Calibri Light" w:cs="Calibri Light"/>
          <w:b/>
        </w:rPr>
        <w:t>SODNÁ SŮL ENOXAPARINU</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lastRenderedPageBreak/>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permStart w:id="1537222797" w:edGrp="everyone"/>
      <w:r w:rsidRPr="006B01DA">
        <w:rPr>
          <w:rFonts w:ascii="Calibri Light" w:hAnsi="Calibri Light" w:cs="Calibri Light"/>
        </w:rPr>
        <w:t xml:space="preserve"> </w:t>
      </w:r>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ermEnd w:id="1537222797"/>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521ECF">
        <w:rPr>
          <w:rFonts w:ascii="Calibri Light" w:hAnsi="Calibri Light" w:cs="Calibri Light"/>
        </w:rPr>
        <w:t xml:space="preserve">Mgr. Juraj </w:t>
      </w:r>
      <w:proofErr w:type="spellStart"/>
      <w:r w:rsidR="00937743" w:rsidRPr="00521ECF">
        <w:rPr>
          <w:rFonts w:ascii="Calibri Light" w:hAnsi="Calibri Light" w:cs="Calibri Light"/>
        </w:rPr>
        <w:t>Bakič</w:t>
      </w:r>
      <w:proofErr w:type="spellEnd"/>
      <w:r w:rsidR="00246AD5" w:rsidRPr="00521ECF">
        <w:rPr>
          <w:rFonts w:ascii="Calibri Light" w:hAnsi="Calibri Light" w:cs="Calibri Light"/>
        </w:rPr>
        <w:t xml:space="preserve">, e-mail: </w:t>
      </w:r>
      <w:hyperlink r:id="rId11" w:history="1">
        <w:r w:rsidR="00937743" w:rsidRPr="00521ECF">
          <w:rPr>
            <w:rStyle w:val="Hypertextovodkaz"/>
            <w:rFonts w:ascii="Calibri Light" w:hAnsi="Calibri Light" w:cs="Calibri Light"/>
          </w:rPr>
          <w:t>lekarna@nemkyj.cz</w:t>
        </w:r>
      </w:hyperlink>
      <w:r w:rsidR="00246AD5" w:rsidRPr="00521ECF">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permStart w:id="277890172" w:edGrp="everyone"/>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ermEnd w:id="277890172"/>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66A1CBA7"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do 48 hodin od objednání.   V případě, že Prodávající není schopen dodat LP do 48 hodin z důvodu, </w:t>
      </w:r>
      <w:r w:rsidR="00856AB7">
        <w:rPr>
          <w:rFonts w:ascii="Calibri Light" w:eastAsia="Calibri" w:hAnsi="Calibri Light" w:cs="Calibri Light"/>
        </w:rPr>
        <w:br/>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3D8AF8C1"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 xml:space="preserve">V případě, že orgán státního dohledu nařídí stažení z používání zboží, které </w:t>
      </w:r>
      <w:r w:rsidR="00A35118">
        <w:rPr>
          <w:rFonts w:ascii="Calibri Light" w:eastAsia="Calibri" w:hAnsi="Calibri Light" w:cs="Calibri Light"/>
        </w:rPr>
        <w:t>prodávající</w:t>
      </w:r>
      <w:r w:rsidRPr="00970238">
        <w:rPr>
          <w:rFonts w:ascii="Calibri Light" w:eastAsia="Calibri" w:hAnsi="Calibri Light" w:cs="Calibri Light"/>
        </w:rPr>
        <w:t xml:space="preserve"> dodal </w:t>
      </w:r>
      <w:r w:rsidR="00214177">
        <w:rPr>
          <w:rFonts w:ascii="Calibri Light" w:eastAsia="Calibri" w:hAnsi="Calibri Light" w:cs="Calibri Light"/>
        </w:rPr>
        <w:t>kupujícímu</w:t>
      </w:r>
      <w:r w:rsidRPr="00970238">
        <w:rPr>
          <w:rFonts w:ascii="Calibri Light" w:eastAsia="Calibri" w:hAnsi="Calibri Light" w:cs="Calibri Light"/>
        </w:rPr>
        <w:t xml:space="preserve">, je </w:t>
      </w:r>
      <w:r w:rsidR="00A35118">
        <w:rPr>
          <w:rFonts w:ascii="Calibri Light" w:eastAsia="Calibri" w:hAnsi="Calibri Light" w:cs="Calibri Light"/>
        </w:rPr>
        <w:t>prodávající</w:t>
      </w:r>
      <w:r w:rsidRPr="00970238">
        <w:rPr>
          <w:rFonts w:ascii="Calibri Light" w:eastAsia="Calibri" w:hAnsi="Calibri Light" w:cs="Calibri Light"/>
        </w:rPr>
        <w:t xml:space="preserve"> povinen toto zboží od </w:t>
      </w:r>
      <w:r w:rsidR="00A35118">
        <w:rPr>
          <w:rFonts w:ascii="Calibri Light" w:eastAsia="Calibri" w:hAnsi="Calibri Light" w:cs="Calibri Light"/>
        </w:rPr>
        <w:t>kupujícího</w:t>
      </w:r>
      <w:r w:rsidRPr="00970238">
        <w:rPr>
          <w:rFonts w:ascii="Calibri Light" w:eastAsia="Calibri" w:hAnsi="Calibri Light" w:cs="Calibri Light"/>
        </w:rPr>
        <w:t xml:space="preserve"> odebrat zpět na vlastní náklady a cenu tohoto zboží </w:t>
      </w:r>
      <w:r w:rsidR="00791EAD">
        <w:rPr>
          <w:rFonts w:ascii="Calibri Light" w:eastAsia="Calibri" w:hAnsi="Calibri Light" w:cs="Calibri Light"/>
        </w:rPr>
        <w:t>kupujícímu</w:t>
      </w:r>
      <w:r w:rsidRPr="00970238">
        <w:rPr>
          <w:rFonts w:ascii="Calibri Light" w:eastAsia="Calibri" w:hAnsi="Calibri Light" w:cs="Calibri Light"/>
        </w:rPr>
        <w:t xml:space="preserve"> uhradit, případně po dohodě s</w:t>
      </w:r>
      <w:r w:rsidR="00791EAD">
        <w:rPr>
          <w:rFonts w:ascii="Calibri Light" w:eastAsia="Calibri" w:hAnsi="Calibri Light" w:cs="Calibri Light"/>
        </w:rPr>
        <w:t xml:space="preserve"> kupujícím</w:t>
      </w:r>
      <w:r w:rsidRPr="00970238">
        <w:rPr>
          <w:rFonts w:ascii="Calibri Light" w:eastAsia="Calibri" w:hAnsi="Calibri Light" w:cs="Calibri Light"/>
        </w:rPr>
        <w:t xml:space="preserve">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lastRenderedPageBreak/>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274BBDEB"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 </w:t>
      </w:r>
      <w:r w:rsidR="00D218C3" w:rsidRPr="006B01DA">
        <w:rPr>
          <w:rFonts w:ascii="Calibri Light" w:hAnsi="Calibri Light" w:cs="Calibri Light"/>
        </w:rPr>
        <w:br/>
      </w:r>
      <w:r w:rsidRPr="006B01DA">
        <w:rPr>
          <w:rFonts w:ascii="Calibri Light" w:hAnsi="Calibri Light" w:cs="Calibri Light"/>
        </w:rPr>
        <w:t>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lastRenderedPageBreak/>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6C30C8">
        <w:rPr>
          <w:rFonts w:ascii="Calibri Light" w:hAnsi="Calibri Light" w:cs="Calibri Light"/>
          <w:iCs/>
          <w:highlight w:val="cyan"/>
        </w:rPr>
        <w:t>č.</w:t>
      </w:r>
      <w:r w:rsidR="004E67CF" w:rsidRPr="006C30C8">
        <w:rPr>
          <w:rFonts w:ascii="Calibri Light" w:hAnsi="Calibri Light" w:cs="Calibri Light"/>
          <w:iCs/>
          <w:highlight w:val="cyan"/>
        </w:rPr>
        <w:t xml:space="preserve"> </w:t>
      </w:r>
      <w:r w:rsidR="00050934" w:rsidRPr="006C30C8">
        <w:rPr>
          <w:rFonts w:ascii="Calibri Light" w:hAnsi="Calibri Light" w:cs="Calibri Light"/>
          <w:iCs/>
          <w:highlight w:val="cyan"/>
        </w:rPr>
        <w:t>……</w:t>
      </w:r>
      <w:proofErr w:type="gramStart"/>
      <w:r w:rsidR="00050934" w:rsidRPr="006C30C8">
        <w:rPr>
          <w:rFonts w:ascii="Calibri Light" w:hAnsi="Calibri Light" w:cs="Calibri Light"/>
          <w:iCs/>
          <w:highlight w:val="cyan"/>
        </w:rPr>
        <w:t>…….</w:t>
      </w:r>
      <w:proofErr w:type="gramEnd"/>
      <w:r w:rsidR="00050934" w:rsidRPr="006C30C8">
        <w:rPr>
          <w:rFonts w:ascii="Calibri Light" w:hAnsi="Calibri Light" w:cs="Calibri Light"/>
          <w:iCs/>
          <w:highlight w:val="cya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6C30C8">
        <w:rPr>
          <w:rFonts w:ascii="Calibri Light" w:hAnsi="Calibri Light" w:cs="Calibri Light"/>
          <w:iCs/>
          <w:highlight w:val="cyan"/>
        </w:rPr>
        <w:t>č. ……</w:t>
      </w:r>
      <w:proofErr w:type="gramStart"/>
      <w:r w:rsidRPr="006C30C8">
        <w:rPr>
          <w:rFonts w:ascii="Calibri Light" w:hAnsi="Calibri Light" w:cs="Calibri Light"/>
          <w:iCs/>
          <w:highlight w:val="cyan"/>
        </w:rPr>
        <w:t>…….</w:t>
      </w:r>
      <w:proofErr w:type="gramEnd"/>
      <w:r w:rsidRPr="006C30C8">
        <w:rPr>
          <w:rFonts w:ascii="Calibri Light" w:hAnsi="Calibri Light" w:cs="Calibri Light"/>
          <w:iCs/>
          <w:highlight w:val="cyan"/>
        </w:rPr>
        <w:t>.</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0AAD1C0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reklamací na webových stránkách Prodávajícího, případně předáním reklamovaného zboží s dokumentací přepravci Prodávajícího oproti podpisu. Prodávající se zavazuje reklamaci vyřešit nejpozději do 14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lastRenderedPageBreak/>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5593918B"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CF6821">
        <w:rPr>
          <w:rFonts w:ascii="Calibri Light" w:eastAsia="Calibri" w:hAnsi="Calibri Light" w:cs="Calibri Light"/>
          <w:b/>
          <w:bCs/>
          <w:color w:val="000000"/>
          <w:u w:val="single"/>
        </w:rPr>
        <w:t>2 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39196967"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16C66C1C"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Pohledávky vyplývající ze Smlouvy lze převést na jinou osobu jen s předchozím písemným souhlasem druhé smluvní strany. Prodávající prohlašuje, že neuzavřel před uzavřením </w:t>
      </w:r>
      <w:r w:rsidR="006B01DA">
        <w:rPr>
          <w:rFonts w:ascii="Calibri Light" w:eastAsia="Calibri" w:hAnsi="Calibri Light" w:cs="Calibri Light"/>
          <w:color w:val="000000"/>
        </w:rPr>
        <w:br/>
      </w:r>
      <w:r w:rsidRPr="006B01DA">
        <w:rPr>
          <w:rFonts w:ascii="Calibri Light" w:eastAsia="Calibri" w:hAnsi="Calibri Light" w:cs="Calibri Light"/>
          <w:color w:val="000000"/>
        </w:rPr>
        <w:t>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2A8AAAB2"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A70710">
        <w:rPr>
          <w:rFonts w:ascii="Calibri Light" w:eastAsia="Calibri" w:hAnsi="Calibri Light" w:cs="Calibri Light"/>
          <w:color w:val="000000"/>
        </w:rPr>
        <w:br/>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5B86D8CB"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 xml:space="preserve">Prodávající prohlašuje, že byl seznámen se skutečností, že tato smlouva a s ní spojené dokumenty budou zveřejněny v "Katalogu smluv", a to na adrese https://zakazky.krajbezkorupce.cz, </w:t>
      </w:r>
      <w:r w:rsidR="006B01DA">
        <w:rPr>
          <w:rFonts w:ascii="Calibri Light" w:eastAsia="Calibri" w:hAnsi="Calibri Light" w:cs="Calibri Light"/>
          <w:color w:val="000000"/>
        </w:rPr>
        <w:br/>
      </w:r>
      <w:r w:rsidRPr="006B01DA">
        <w:rPr>
          <w:rFonts w:ascii="Calibri Light" w:eastAsia="Calibri" w:hAnsi="Calibri Light" w:cs="Calibri Light"/>
          <w:color w:val="000000"/>
        </w:rPr>
        <w:t>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0377AE00"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CF6821">
        <w:rPr>
          <w:rFonts w:ascii="Calibri Light" w:eastAsia="Calibri" w:hAnsi="Calibri Light" w:cs="Calibri Light"/>
          <w:color w:val="000000"/>
        </w:rPr>
        <w:t>nabídka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r>
      <w:permStart w:id="1069028274" w:edGrp="everyone"/>
      <w:r w:rsidR="00521ECF">
        <w:rPr>
          <w:rFonts w:ascii="Calibri Light" w:eastAsia="Times New Roman" w:hAnsi="Calibri Light" w:cs="Calibri Light"/>
          <w:lang w:eastAsia="cs-CZ"/>
        </w:rPr>
        <w:t>V ………</w:t>
      </w:r>
      <w:proofErr w:type="gramStart"/>
      <w:r w:rsidR="00521ECF">
        <w:rPr>
          <w:rFonts w:ascii="Calibri Light" w:eastAsia="Times New Roman" w:hAnsi="Calibri Light" w:cs="Calibri Light"/>
          <w:lang w:eastAsia="cs-CZ"/>
        </w:rPr>
        <w:t>…….</w:t>
      </w:r>
      <w:proofErr w:type="gramEnd"/>
      <w:r w:rsidR="00521ECF">
        <w:rPr>
          <w:rFonts w:ascii="Calibri Light" w:eastAsia="Times New Roman" w:hAnsi="Calibri Light" w:cs="Calibri Light"/>
          <w:lang w:eastAsia="cs-CZ"/>
        </w:rPr>
        <w:t>, dne ………………………</w:t>
      </w:r>
      <w:permEnd w:id="1069028274"/>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permStart w:id="861882176" w:edGrp="everyone"/>
      <w:r w:rsidR="00521ECF">
        <w:rPr>
          <w:rFonts w:ascii="Calibri Light" w:eastAsia="Times New Roman" w:hAnsi="Calibri Light" w:cs="Calibri Light"/>
          <w:i/>
          <w:lang w:eastAsia="cs-CZ"/>
        </w:rPr>
        <w:tab/>
      </w:r>
      <w:permEnd w:id="861882176"/>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permStart w:id="547555328" w:edGrp="everyone"/>
      <w:r>
        <w:rPr>
          <w:rFonts w:ascii="Calibri Light" w:eastAsia="Times New Roman" w:hAnsi="Calibri Light" w:cs="Calibri Light"/>
          <w:lang w:eastAsia="cs-CZ"/>
        </w:rPr>
        <w:tab/>
      </w:r>
      <w:permEnd w:id="547555328"/>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default" r:id="rId12"/>
      <w:footerReference w:type="default" r:id="rId13"/>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D5EEF" w14:textId="77777777" w:rsidR="004A59F4" w:rsidRDefault="004A59F4">
      <w:pPr>
        <w:spacing w:after="0" w:line="240" w:lineRule="auto"/>
      </w:pPr>
      <w:r>
        <w:separator/>
      </w:r>
    </w:p>
  </w:endnote>
  <w:endnote w:type="continuationSeparator" w:id="0">
    <w:p w14:paraId="58FCEE1C" w14:textId="77777777" w:rsidR="004A59F4" w:rsidRDefault="004A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End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4F528" w14:textId="77777777" w:rsidR="004A59F4" w:rsidRDefault="004A59F4">
      <w:pPr>
        <w:spacing w:after="0" w:line="240" w:lineRule="auto"/>
      </w:pPr>
      <w:r>
        <w:separator/>
      </w:r>
    </w:p>
  </w:footnote>
  <w:footnote w:type="continuationSeparator" w:id="0">
    <w:p w14:paraId="5B3BAE3F" w14:textId="77777777" w:rsidR="004A59F4" w:rsidRDefault="004A5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9603" w14:textId="31520F3A" w:rsidR="00346923" w:rsidRPr="00024DB2" w:rsidRDefault="00346923" w:rsidP="00024DB2">
    <w:pPr>
      <w:pStyle w:val="Zhlav"/>
      <w:jc w:val="right"/>
      <w:rPr>
        <w:rFonts w:ascii="Arial" w:hAnsi="Arial" w:cs="Arial"/>
        <w:b/>
      </w:rPr>
    </w:pP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G9u8ocwSJI7Vqj/KFvVs7vOjxWoOCwUsGrOPUEx36lA/BKaIf4hCG0BA2N6Welzf7d4joU+vHiCoYUgBy+gZA==" w:salt="b+qBnMy+AnJyGf1gnujf8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21DF9"/>
    <w:rsid w:val="00024DB2"/>
    <w:rsid w:val="00043702"/>
    <w:rsid w:val="0005044A"/>
    <w:rsid w:val="00050934"/>
    <w:rsid w:val="000526DA"/>
    <w:rsid w:val="00071FF9"/>
    <w:rsid w:val="0007330F"/>
    <w:rsid w:val="000817CD"/>
    <w:rsid w:val="00086A39"/>
    <w:rsid w:val="00086F2E"/>
    <w:rsid w:val="000E3959"/>
    <w:rsid w:val="000E50CA"/>
    <w:rsid w:val="00110145"/>
    <w:rsid w:val="0012004D"/>
    <w:rsid w:val="00133F2A"/>
    <w:rsid w:val="00137919"/>
    <w:rsid w:val="0017031C"/>
    <w:rsid w:val="00170AC5"/>
    <w:rsid w:val="00173EA0"/>
    <w:rsid w:val="00183E70"/>
    <w:rsid w:val="001C35C4"/>
    <w:rsid w:val="001C59F1"/>
    <w:rsid w:val="001D3BAF"/>
    <w:rsid w:val="001D44DA"/>
    <w:rsid w:val="001D4E0B"/>
    <w:rsid w:val="001E78A5"/>
    <w:rsid w:val="001F224A"/>
    <w:rsid w:val="001F4926"/>
    <w:rsid w:val="002010A5"/>
    <w:rsid w:val="00214177"/>
    <w:rsid w:val="00214A71"/>
    <w:rsid w:val="00224D3F"/>
    <w:rsid w:val="00230E65"/>
    <w:rsid w:val="00231583"/>
    <w:rsid w:val="0024314A"/>
    <w:rsid w:val="00246AD5"/>
    <w:rsid w:val="002672F1"/>
    <w:rsid w:val="00277F57"/>
    <w:rsid w:val="002A6145"/>
    <w:rsid w:val="002C2FF3"/>
    <w:rsid w:val="00303849"/>
    <w:rsid w:val="003056AE"/>
    <w:rsid w:val="00313461"/>
    <w:rsid w:val="0031424A"/>
    <w:rsid w:val="00315D13"/>
    <w:rsid w:val="00346923"/>
    <w:rsid w:val="00350C62"/>
    <w:rsid w:val="00353D99"/>
    <w:rsid w:val="00355F97"/>
    <w:rsid w:val="003570D6"/>
    <w:rsid w:val="003575D0"/>
    <w:rsid w:val="00372C62"/>
    <w:rsid w:val="00375422"/>
    <w:rsid w:val="00380104"/>
    <w:rsid w:val="00390DF8"/>
    <w:rsid w:val="003B6CBF"/>
    <w:rsid w:val="003C7A2D"/>
    <w:rsid w:val="003D4C8A"/>
    <w:rsid w:val="003E2014"/>
    <w:rsid w:val="003E5418"/>
    <w:rsid w:val="003F5CF0"/>
    <w:rsid w:val="00402B39"/>
    <w:rsid w:val="004076C6"/>
    <w:rsid w:val="00414F57"/>
    <w:rsid w:val="00422672"/>
    <w:rsid w:val="00425177"/>
    <w:rsid w:val="00427E66"/>
    <w:rsid w:val="00430719"/>
    <w:rsid w:val="00436E0F"/>
    <w:rsid w:val="0044537D"/>
    <w:rsid w:val="00446144"/>
    <w:rsid w:val="00447AA6"/>
    <w:rsid w:val="00473B88"/>
    <w:rsid w:val="00477313"/>
    <w:rsid w:val="004A59F4"/>
    <w:rsid w:val="004C1BB9"/>
    <w:rsid w:val="004C53B2"/>
    <w:rsid w:val="004C6C26"/>
    <w:rsid w:val="004E1385"/>
    <w:rsid w:val="004E67CF"/>
    <w:rsid w:val="004F2C4A"/>
    <w:rsid w:val="00501323"/>
    <w:rsid w:val="00507BB3"/>
    <w:rsid w:val="00521ECF"/>
    <w:rsid w:val="005257C9"/>
    <w:rsid w:val="0053241E"/>
    <w:rsid w:val="00543E41"/>
    <w:rsid w:val="0054605C"/>
    <w:rsid w:val="00552216"/>
    <w:rsid w:val="00563731"/>
    <w:rsid w:val="00564089"/>
    <w:rsid w:val="00576409"/>
    <w:rsid w:val="005847F5"/>
    <w:rsid w:val="00592EA3"/>
    <w:rsid w:val="005B1254"/>
    <w:rsid w:val="005B62C2"/>
    <w:rsid w:val="005C4E37"/>
    <w:rsid w:val="005E6CAA"/>
    <w:rsid w:val="005F2358"/>
    <w:rsid w:val="0060255E"/>
    <w:rsid w:val="00603CC1"/>
    <w:rsid w:val="006212CC"/>
    <w:rsid w:val="00653273"/>
    <w:rsid w:val="00665EE1"/>
    <w:rsid w:val="006727EC"/>
    <w:rsid w:val="00686A64"/>
    <w:rsid w:val="006B01DA"/>
    <w:rsid w:val="006B07E1"/>
    <w:rsid w:val="006B1C81"/>
    <w:rsid w:val="006C30C8"/>
    <w:rsid w:val="007367E1"/>
    <w:rsid w:val="00745857"/>
    <w:rsid w:val="0078775B"/>
    <w:rsid w:val="00791EAD"/>
    <w:rsid w:val="007F00EC"/>
    <w:rsid w:val="007F5A9A"/>
    <w:rsid w:val="00823C9D"/>
    <w:rsid w:val="008264D7"/>
    <w:rsid w:val="00840A37"/>
    <w:rsid w:val="008437D9"/>
    <w:rsid w:val="00845559"/>
    <w:rsid w:val="0085167D"/>
    <w:rsid w:val="00856935"/>
    <w:rsid w:val="00856AB7"/>
    <w:rsid w:val="00861AD6"/>
    <w:rsid w:val="00864BEB"/>
    <w:rsid w:val="00866034"/>
    <w:rsid w:val="008668A1"/>
    <w:rsid w:val="008707FF"/>
    <w:rsid w:val="008731C9"/>
    <w:rsid w:val="00873FB4"/>
    <w:rsid w:val="00876033"/>
    <w:rsid w:val="008A50BF"/>
    <w:rsid w:val="008A67EF"/>
    <w:rsid w:val="008C1EFF"/>
    <w:rsid w:val="008D4704"/>
    <w:rsid w:val="008E51CD"/>
    <w:rsid w:val="00914955"/>
    <w:rsid w:val="009234A3"/>
    <w:rsid w:val="00937743"/>
    <w:rsid w:val="009468BE"/>
    <w:rsid w:val="009679BF"/>
    <w:rsid w:val="00970238"/>
    <w:rsid w:val="00981DCF"/>
    <w:rsid w:val="00990859"/>
    <w:rsid w:val="00992B82"/>
    <w:rsid w:val="009B3477"/>
    <w:rsid w:val="009C3402"/>
    <w:rsid w:val="009D55B7"/>
    <w:rsid w:val="009F57B7"/>
    <w:rsid w:val="00A303A7"/>
    <w:rsid w:val="00A35118"/>
    <w:rsid w:val="00A35564"/>
    <w:rsid w:val="00A40434"/>
    <w:rsid w:val="00A57F79"/>
    <w:rsid w:val="00A6028F"/>
    <w:rsid w:val="00A62865"/>
    <w:rsid w:val="00A70710"/>
    <w:rsid w:val="00A73702"/>
    <w:rsid w:val="00A91DA3"/>
    <w:rsid w:val="00A97778"/>
    <w:rsid w:val="00AA15CE"/>
    <w:rsid w:val="00AB0377"/>
    <w:rsid w:val="00AB59B2"/>
    <w:rsid w:val="00AC7583"/>
    <w:rsid w:val="00AD1A68"/>
    <w:rsid w:val="00AE07D8"/>
    <w:rsid w:val="00AE7E84"/>
    <w:rsid w:val="00B16555"/>
    <w:rsid w:val="00B30169"/>
    <w:rsid w:val="00B33C1B"/>
    <w:rsid w:val="00B474CE"/>
    <w:rsid w:val="00B63DCD"/>
    <w:rsid w:val="00B864CB"/>
    <w:rsid w:val="00B95799"/>
    <w:rsid w:val="00B9677B"/>
    <w:rsid w:val="00BB29C0"/>
    <w:rsid w:val="00BB321D"/>
    <w:rsid w:val="00BC13AA"/>
    <w:rsid w:val="00BC1D49"/>
    <w:rsid w:val="00BC3EB5"/>
    <w:rsid w:val="00BD3C5F"/>
    <w:rsid w:val="00BE0F89"/>
    <w:rsid w:val="00C26C8D"/>
    <w:rsid w:val="00C44683"/>
    <w:rsid w:val="00C817B0"/>
    <w:rsid w:val="00C97C99"/>
    <w:rsid w:val="00CB0B2F"/>
    <w:rsid w:val="00CC07E4"/>
    <w:rsid w:val="00CC48A3"/>
    <w:rsid w:val="00CC4F3D"/>
    <w:rsid w:val="00CD0DFA"/>
    <w:rsid w:val="00CD718E"/>
    <w:rsid w:val="00CE1831"/>
    <w:rsid w:val="00CF6821"/>
    <w:rsid w:val="00D218C3"/>
    <w:rsid w:val="00D232EC"/>
    <w:rsid w:val="00D33107"/>
    <w:rsid w:val="00D46C7D"/>
    <w:rsid w:val="00D6564E"/>
    <w:rsid w:val="00D67742"/>
    <w:rsid w:val="00D81E1D"/>
    <w:rsid w:val="00D83209"/>
    <w:rsid w:val="00DB5F64"/>
    <w:rsid w:val="00DE31FC"/>
    <w:rsid w:val="00DF3AC0"/>
    <w:rsid w:val="00E07202"/>
    <w:rsid w:val="00E52F27"/>
    <w:rsid w:val="00E5483C"/>
    <w:rsid w:val="00E63A1D"/>
    <w:rsid w:val="00E63E03"/>
    <w:rsid w:val="00E66E82"/>
    <w:rsid w:val="00E7020C"/>
    <w:rsid w:val="00E75D42"/>
    <w:rsid w:val="00EC0CCD"/>
    <w:rsid w:val="00ED663D"/>
    <w:rsid w:val="00F0562B"/>
    <w:rsid w:val="00F50290"/>
    <w:rsid w:val="00F62DE8"/>
    <w:rsid w:val="00F75324"/>
    <w:rsid w:val="00F8201F"/>
    <w:rsid w:val="00F9395E"/>
    <w:rsid w:val="00F940AD"/>
    <w:rsid w:val="00FD086F"/>
    <w:rsid w:val="00FD2639"/>
    <w:rsid w:val="00FF2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CD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karna@nemkyj.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chalik.igor@nemkyj.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Props1.xml><?xml version="1.0" encoding="utf-8"?>
<ds:datastoreItem xmlns:ds="http://schemas.openxmlformats.org/officeDocument/2006/customXml" ds:itemID="{275479CC-855E-461A-9FE1-412D27610FCF}">
  <ds:schemaRefs>
    <ds:schemaRef ds:uri="http://schemas.microsoft.com/sharepoint/v3/contenttype/forms"/>
  </ds:schemaRefs>
</ds:datastoreItem>
</file>

<file path=customXml/itemProps2.xml><?xml version="1.0" encoding="utf-8"?>
<ds:datastoreItem xmlns:ds="http://schemas.openxmlformats.org/officeDocument/2006/customXml" ds:itemID="{BD58F017-4946-4BF8-8E24-8AD77FFA7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A2620-7288-45A4-8273-BE8E2DF022A0}">
  <ds:schemaRefs>
    <ds:schemaRef ds:uri="ade03ab2-4a99-4d88-a12a-99ee79d9a2f8"/>
    <ds:schemaRef ds:uri="http://schemas.microsoft.com/office/2006/documentManagement/types"/>
    <ds:schemaRef ds:uri="2cb8ece6-5c93-4294-9610-25923d167244"/>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3539</Words>
  <Characters>20881</Characters>
  <Application>Microsoft Office Word</Application>
  <DocSecurity>8</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Ing. ŠAFÁŘOVÁ Eva</cp:lastModifiedBy>
  <cp:revision>3</cp:revision>
  <dcterms:created xsi:type="dcterms:W3CDTF">2025-05-12T08:46:00Z</dcterms:created>
  <dcterms:modified xsi:type="dcterms:W3CDTF">2025-05-12T08:47:00Z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0x010100A67D82CEABB42445A940E0238ACD77B8</vt:lpwstr>
  </property>
  <property fmtid="{D5CDD505-2E9C-101B-9397-08002B2CF9AE}" pid="3" name="MSIP_Label_690ebb53-23a2-471a-9c6e-17bd0d11311e_Enabled">
    <vt:lpwstr>true</vt:lpwstr>
  </property>
  <property fmtid="{D5CDD505-2E9C-101B-9397-08002B2CF9AE}" pid="4" name="MSIP_Label_690ebb53-23a2-471a-9c6e-17bd0d11311e_SetDate">
    <vt:lpwstr>2025-03-27T06:18:11Z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95eb7e73-ebcb-41ca-a163-adbc895589c8</vt:lpwstr>
  </property>
  <property fmtid="{D5CDD505-2E9C-101B-9397-08002B2CF9AE}" pid="9" name="MSIP_Label_690ebb53-23a2-471a-9c6e-17bd0d11311e_ContentBits">
    <vt:lpwstr>0</vt:lpwstr>
  </property>
  <property fmtid="{D5CDD505-2E9C-101B-9397-08002B2CF9AE}" pid="10" name="MSIP_Label_690ebb53-23a2-471a-9c6e-17bd0d11311e_Tag">
    <vt:lpwstr>10, 3, 0, 1</vt:lpwstr>
  </property>
  <property fmtid="{D5CDD505-2E9C-101B-9397-08002B2CF9AE}" pid="11" name="MediaServiceImageTags">
    <vt:lpwstr/>
  </property>
</Properties>
</file>