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KRYCÍ LIST NABÍDKY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1"/>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4"/>
        <w:gridCol w:w="5970"/>
        <w:tblGridChange w:id="0">
          <w:tblGrid>
            <w:gridCol w:w="3954"/>
            <w:gridCol w:w="5970"/>
          </w:tblGrid>
        </w:tblGridChange>
      </w:tblGrid>
      <w:tr>
        <w:trPr>
          <w:cantSplit w:val="0"/>
          <w:trHeight w:val="340" w:hRule="atLeast"/>
          <w:tblHeader w:val="0"/>
        </w:trPr>
        <w:tc>
          <w:tcP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Název veřejné zakázky</w:t>
            </w:r>
            <w:r w:rsidDel="00000000" w:rsidR="00000000" w:rsidRPr="00000000">
              <w:rPr>
                <w:rtl w:val="0"/>
              </w:rPr>
            </w:r>
          </w:p>
        </w:tc>
        <w:tc>
          <w:tcP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b w:val="1"/>
                <w:sz w:val="22"/>
                <w:szCs w:val="22"/>
                <w:rtl w:val="0"/>
              </w:rPr>
              <w:t xml:space="preserve">OTVOROVÉ VÝPLNĚ ŠPALETOVÉ - LIPOVÁ</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Identifikační údaje zadavatele</w:t>
            </w:r>
            <w:r w:rsidDel="00000000" w:rsidR="00000000" w:rsidRPr="00000000">
              <w:rPr>
                <w:rtl w:val="0"/>
              </w:rPr>
            </w:r>
          </w:p>
        </w:tc>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Zadavatel:</w:t>
            </w:r>
          </w:p>
        </w:tc>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Lipka – školské zařízení pro environmentální vzdělávání Brno, příspěvková organizace</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Sídlo:</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Lipová 233/20, 602 00 Brno-Pisárky</w:t>
            </w:r>
          </w:p>
        </w:tc>
      </w:tr>
      <w:tr>
        <w:trPr>
          <w:cantSplit w:val="0"/>
          <w:trHeight w:val="340"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IČO:</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44993447</w:t>
            </w:r>
          </w:p>
        </w:tc>
      </w:tr>
      <w:tr>
        <w:trPr>
          <w:cantSplit w:val="0"/>
          <w:trHeight w:val="340"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DIČ:</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CZ44993447</w:t>
            </w:r>
          </w:p>
        </w:tc>
      </w:tr>
      <w:tr>
        <w:trPr>
          <w:cantSplit w:val="0"/>
          <w:trHeight w:val="340" w:hRule="atLeast"/>
          <w:tblHeader w:val="0"/>
        </w:trPr>
        <w:tc>
          <w:tcP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Zastoupená:</w:t>
            </w:r>
          </w:p>
        </w:tc>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Mgr. Hanou Korvasovou, ředitelkou</w:t>
            </w:r>
          </w:p>
        </w:tc>
      </w:tr>
      <w:tr>
        <w:trPr>
          <w:cantSplit w:val="0"/>
          <w:trHeight w:val="340" w:hRule="atLeast"/>
          <w:tblHeader w:val="0"/>
        </w:trPr>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Identifikační údaje uchazeče</w:t>
            </w:r>
            <w:r w:rsidDel="00000000" w:rsidR="00000000" w:rsidRPr="00000000">
              <w:rPr>
                <w:rtl w:val="0"/>
              </w:rPr>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Obchodní firma:</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Sídlo:</w:t>
            </w:r>
          </w:p>
        </w:tc>
        <w:tc>
          <w:tcP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Osoba oprávněná jednat za uchazeče:</w:t>
            </w:r>
          </w:p>
        </w:tc>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IČO:</w:t>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DIČ:</w:t>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Kontaktní osoba ve věci veřejné zakázky:</w:t>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Telefon:</w:t>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w:t>
            </w:r>
          </w:p>
        </w:tc>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Nabídková cena</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Plátce DPH:</w:t>
      </w:r>
    </w:p>
    <w:tbl>
      <w:tblPr>
        <w:tblStyle w:val="Table2"/>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7"/>
        <w:gridCol w:w="5953"/>
        <w:tblGridChange w:id="0">
          <w:tblGrid>
            <w:gridCol w:w="3117"/>
            <w:gridCol w:w="5953"/>
          </w:tblGrid>
        </w:tblGridChange>
      </w:tblGrid>
      <w:tr>
        <w:trPr>
          <w:cantSplit w:val="0"/>
          <w:trHeight w:val="220" w:hRule="atLeast"/>
          <w:tblHeader w:val="0"/>
        </w:trPr>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Cena celkem bez DPH</w:t>
            </w:r>
          </w:p>
        </w:tc>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Kč</w:t>
            </w:r>
          </w:p>
        </w:tc>
      </w:tr>
      <w:tr>
        <w:trPr>
          <w:cantSplit w:val="0"/>
          <w:trHeight w:val="242" w:hRule="atLeast"/>
          <w:tblHeader w:val="0"/>
        </w:trPr>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Sazba DPH</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r>
      <w:tr>
        <w:trPr>
          <w:cantSplit w:val="0"/>
          <w:trHeight w:val="264" w:hRule="atLeast"/>
          <w:tblHeader w:val="0"/>
        </w:trPr>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Celková výše DPH</w:t>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Kč</w:t>
            </w:r>
          </w:p>
        </w:tc>
      </w:tr>
      <w:tr>
        <w:trPr>
          <w:cantSplit w:val="0"/>
          <w:trHeight w:val="286" w:hRule="atLeast"/>
          <w:tblHeader w:val="0"/>
        </w:trPr>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Cena celkem včetně DPH</w:t>
            </w:r>
          </w:p>
        </w:tc>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Kč</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Neplátce DPH:</w:t>
      </w:r>
    </w:p>
    <w:tbl>
      <w:tblPr>
        <w:tblStyle w:val="Table3"/>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7"/>
        <w:gridCol w:w="5953"/>
        <w:tblGridChange w:id="0">
          <w:tblGrid>
            <w:gridCol w:w="3117"/>
            <w:gridCol w:w="5953"/>
          </w:tblGrid>
        </w:tblGridChange>
      </w:tblGrid>
      <w:tr>
        <w:trPr>
          <w:cantSplit w:val="0"/>
          <w:trHeight w:val="266" w:hRule="atLeast"/>
          <w:tblHeader w:val="0"/>
        </w:trPr>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Cena celkem </w:t>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Kč</w:t>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ind w:hanging="2"/>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Čestná prohlášení</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Čestné prohlášení k základní způsobilosti dle §74 zákona o zadávání veřejných zakázek</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Uchazeč tímto prohlašuje, že: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nebyl v zemi svého sídla v posledních 5 letech před zahájením zadávacího řízení pravomocně odsouzen pro trestný čin uvedený v příloze č. 3 zákona č. 134/2016 Sb., o zadávání veřejných zakázek nebo obdobný trestný čin podle právního řádu země svého sídla (tento požadavek splňují i všechny fyzické a právnické osoby uchazeče),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nemá v České republice nebo v zemi svého sídla v evidenci daní zachycen splatný daňový nedoplatek,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nemá v České republice nebo zemi svého sídla splatný nedoplatek na pojistném nebo na penále na veřejné zdravotní pojištění,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nemá v České republice nebo v zemi svého sídla splatný nedoplatek na pojistném nebo na penále na sociální zabezpečení a příspěvku na státní politiku zaměstnanosti,</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tab/>
        <w:t xml:space="preserve">není v likvidaci, nebylo proti němu vydáno rozhodnutí o úpadku, nebyla podle jiného právního předpisu vůči němu nařízena nucená správa nebo není v obdobné situaci podle právního řádu země svého sídla.</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Čestné prohlášení o neexistenci střetu zájmů dle § 4b zákona o střetu zájmů</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Uchazeč tímto prohlašuje, že není obchodní společností dle § 4b* zákona č. 159/2006 Sb., o střetu zájmů, ve znění pozdějších předpisů (dále jen „zákon o střetu zájmů“).</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Uchazeč tímto prohlašuje, že neprokazuje kvalifikaci prostřednictvím poddodavatelem, který je obchodní společností dle § 4b* zákona č. 159/2006 Sb., o střetu zájmů.</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4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uchazeč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Čestné prohlášení o splnění podmínek Nařízení Rady (EU) 2022/576 ze dne 8. dubna 2022, kterým se mění nařízení (EU) č. 833/2014 o omezujících opatřeních vzhledem k činnostem Ruska destabilizujícím situaci na Ukrajině</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Uchazeč tímto v návaznosti na Nařízení Rady (EU) 2022/576 ze dne 8. dubna 2022, kterým se mění nařízení (EU) č. 833/2014 o omezujících opatřeních vzhledem k činnostem Ruska destabilizujícím situaci na Ukrajině, prohlašuje, že: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není ruským státním příslušníkem, fyzickou či právnickou osobou nebo subjektem či orgánem se sídlem v Rusku,</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 není právnickou osobou, subjektem nebo orgánem, který je z více než 50 % přímo či nepřímo vlastněn některým ze subjektů uvedených v písmeni a),</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 není fyzickou nebo právnickou osobou, subjektem nebo orgánem, který jedná jménem nebo na pokyn některého ze subjektů uvedených v písmeni a) nebo b).</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Uchazeč dále prohlašuje, že splnění výše uvedených podmínek se týká i případných poddodavatelů, dodavatelů nebo subjektů, kteří se podílí na plnění veřejné zakázky více než 10 % hodnoty této zakázky, uchazeč prokazuje kvalifikaci, či s nimi podává společnou nabídku.</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 …………………dne …………. 2025</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bookmarkStart w:colFirst="0" w:colLast="0" w:name="_heading=h.wk5leaqej9td" w:id="0"/>
      <w:bookmarkEnd w:id="0"/>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ab/>
        <w:tab/>
        <w:tab/>
        <w:tab/>
        <w:tab/>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ab/>
        <w:t xml:space="preserve"> podpis osoby oprávněné jednat za uchazeče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Strana  </w:t>
    </w: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2"/>
        <w:szCs w:val="22"/>
        <w:rtl w:val="0"/>
      </w:rPr>
      <w:t xml:space="preserve"> z </w:t>
    </w:r>
    <w:r w:rsidDel="00000000" w:rsidR="00000000" w:rsidRPr="00000000">
      <w:rPr>
        <w:rFonts w:ascii="Calibri" w:cs="Calibri" w:eastAsia="Calibri" w:hAnsi="Calibri"/>
        <w:color w:val="000000"/>
        <w:sz w:val="22"/>
        <w:szCs w:val="22"/>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color="000000" w:space="1" w:sz="4" w:val="single"/>
        <w:right w:space="0" w:sz="0" w:val="nil"/>
        <w:between w:space="0" w:sz="0" w:val="nil"/>
      </w:pBdr>
      <w:tabs>
        <w:tab w:val="center" w:leader="none" w:pos="4536"/>
        <w:tab w:val="right" w:leader="none" w:pos="9072"/>
      </w:tabs>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Příloha č. 1 zadávací dokumentace</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uppressAutoHyphens w:val="1"/>
      <w:spacing w:line="1" w:lineRule="atLeast"/>
      <w:ind w:left="-1" w:leftChars="-1" w:hanging="1" w:hangingChars="1"/>
      <w:textDirection w:val="btLr"/>
      <w:textAlignment w:val="top"/>
      <w:outlineLvl w:val="0"/>
    </w:pPr>
    <w:rPr>
      <w:position w:val="-1"/>
      <w:sz w:val="24"/>
      <w:szCs w:val="24"/>
    </w:rPr>
  </w:style>
  <w:style w:type="paragraph" w:styleId="Nadpis1">
    <w:name w:val="heading 1"/>
    <w:basedOn w:val="Normln"/>
    <w:next w:val="Normln"/>
    <w:uiPriority w:val="9"/>
    <w:qFormat w:val="1"/>
    <w:pPr>
      <w:keepNext w:val="1"/>
      <w:keepLines w:val="1"/>
      <w:spacing w:after="120" w:before="48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Mkatabulky">
    <w:name w:val="Table Grid"/>
    <w:basedOn w:val="Normlntabulka"/>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Zhlav">
    <w:name w:val="header"/>
    <w:basedOn w:val="Normln"/>
    <w:pPr>
      <w:tabs>
        <w:tab w:val="center" w:pos="4536"/>
        <w:tab w:val="right" w:pos="9072"/>
      </w:tabs>
    </w:pPr>
  </w:style>
  <w:style w:type="character" w:styleId="ZhlavChar" w:customStyle="1">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styleId="ZpatChar" w:customStyle="1">
    <w:name w:val="Zápatí Char"/>
    <w:rPr>
      <w:w w:val="100"/>
      <w:position w:val="-1"/>
      <w:sz w:val="24"/>
      <w:szCs w:val="24"/>
      <w:effect w:val="none"/>
      <w:vertAlign w:val="baseline"/>
      <w:cs w:val="0"/>
      <w:em w:val="none"/>
    </w:rPr>
  </w:style>
  <w:style w:type="paragraph" w:styleId="Textbubliny">
    <w:name w:val="Balloon Text"/>
    <w:basedOn w:val="Normln"/>
    <w:rPr>
      <w:rFonts w:ascii="Tahoma" w:cs="Tahoma" w:hAnsi="Tahoma"/>
      <w:sz w:val="16"/>
      <w:szCs w:val="16"/>
    </w:rPr>
  </w:style>
  <w:style w:type="character" w:styleId="TextbublinyChar" w:customStyle="1">
    <w:name w:val="Text bubliny Char"/>
    <w:rPr>
      <w:rFonts w:ascii="Tahoma" w:cs="Tahoma" w:hAnsi="Tahoma"/>
      <w:w w:val="100"/>
      <w:position w:val="-1"/>
      <w:sz w:val="16"/>
      <w:szCs w:val="16"/>
      <w:effect w:val="none"/>
      <w:vertAlign w:val="baseline"/>
      <w:cs w:val="0"/>
      <w:em w:val="none"/>
      <w:lang w:eastAsia="cs-CZ" w:val="cs-CZ"/>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Calibri" w:hAnsi="Calibri"/>
      <w:color w:val="000000"/>
      <w:position w:val="-1"/>
      <w:sz w:val="24"/>
      <w:szCs w:val="24"/>
      <w:lang w:eastAsia="en-US"/>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08.0" w:type="dxa"/>
        <w:bottom w:w="0.0" w:type="dxa"/>
        <w:right w:w="108.0" w:type="dxa"/>
      </w:tblCellMar>
    </w:tblPr>
  </w:style>
  <w:style w:type="table" w:styleId="a0" w:customStyle="1">
    <w:basedOn w:val="TableNormal0"/>
    <w:tblPr>
      <w:tblStyleRowBandSize w:val="1"/>
      <w:tblStyleColBandSize w:val="1"/>
      <w:tblCellMar>
        <w:top w:w="0.0" w:type="dxa"/>
        <w:left w:w="70.0" w:type="dxa"/>
        <w:bottom w:w="0.0" w:type="dxa"/>
        <w:right w:w="70.0" w:type="dxa"/>
      </w:tblCellMar>
    </w:tblPr>
  </w:style>
  <w:style w:type="table" w:styleId="a1" w:customStyle="1">
    <w:basedOn w:val="TableNormal0"/>
    <w:tblPr>
      <w:tblStyleRowBandSize w:val="1"/>
      <w:tblStyleColBandSize w:val="1"/>
      <w:tblCellMar>
        <w:top w:w="0.0" w:type="dxa"/>
        <w:left w:w="70.0" w:type="dxa"/>
        <w:bottom w:w="0.0" w:type="dxa"/>
        <w:right w:w="70.0" w:type="dxa"/>
      </w:tblCellMar>
    </w:tblPr>
  </w:style>
  <w:style w:type="table" w:styleId="a2" w:customStyle="1">
    <w:basedOn w:val="TableNormal0"/>
    <w:tblPr>
      <w:tblStyleRowBandSize w:val="1"/>
      <w:tblStyleColBandSize w:val="1"/>
      <w:tblCellMar>
        <w:top w:w="0.0" w:type="dxa"/>
        <w:left w:w="108.0" w:type="dxa"/>
        <w:bottom w:w="0.0" w:type="dxa"/>
        <w:right w:w="108.0" w:type="dxa"/>
      </w:tblCellMar>
    </w:tblPr>
  </w:style>
  <w:style w:type="table" w:styleId="a3" w:customStyle="1">
    <w:basedOn w:val="TableNormal0"/>
    <w:tblPr>
      <w:tblStyleRowBandSize w:val="1"/>
      <w:tblStyleColBandSize w:val="1"/>
      <w:tblCellMar>
        <w:top w:w="0.0" w:type="dxa"/>
        <w:left w:w="70.0" w:type="dxa"/>
        <w:bottom w:w="0.0" w:type="dxa"/>
        <w:right w:w="70.0" w:type="dxa"/>
      </w:tblCellMar>
    </w:tblPr>
  </w:style>
  <w:style w:type="table" w:styleId="a4" w:customStyle="1">
    <w:basedOn w:val="TableNormal0"/>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CVXPw5zv6aeHXhhWR0OrjscQQ==">CgMxLjAyDmgud2s1bGVhcWVqOXRkOAByITF4c0ZKMXJ6US1OM1JGbUxkbXJtMG5PUGhDRWwxeWlyTA==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2024-08-30T07:32:00Z</dcterms:created>
  <dc:creator>Univerzita Karlova v Praze</dc:creator>
</cp:coreProperties>
</file>