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C522" w14:textId="77777777" w:rsidR="00C57715" w:rsidRPr="008F7B55" w:rsidRDefault="00C57715" w:rsidP="00C57715">
      <w:pPr>
        <w:rPr>
          <w:rFonts w:cstheme="minorHAnsi"/>
        </w:rPr>
      </w:pPr>
      <w:r w:rsidRPr="008F7B55">
        <w:rPr>
          <w:rFonts w:cstheme="minorHAnsi"/>
        </w:rPr>
        <w:t>Zadavatel:</w:t>
      </w:r>
    </w:p>
    <w:p w14:paraId="74539386" w14:textId="77777777" w:rsidR="00C57715" w:rsidRPr="008F7B55" w:rsidRDefault="00C57715" w:rsidP="00C57715">
      <w:pPr>
        <w:jc w:val="center"/>
        <w:rPr>
          <w:rFonts w:cstheme="minorHAnsi"/>
          <w:b/>
          <w:bCs/>
        </w:rPr>
      </w:pPr>
      <w:r w:rsidRPr="008F7B55">
        <w:rPr>
          <w:rFonts w:cstheme="minorHAnsi"/>
          <w:b/>
          <w:bCs/>
        </w:rPr>
        <w:t>KORDIS JMK, a.s.</w:t>
      </w:r>
    </w:p>
    <w:p w14:paraId="454F645B" w14:textId="77777777" w:rsidR="00C57715" w:rsidRPr="008F7B55" w:rsidRDefault="00C57715" w:rsidP="00C57715">
      <w:pPr>
        <w:jc w:val="center"/>
        <w:rPr>
          <w:rFonts w:cstheme="minorHAnsi"/>
        </w:rPr>
      </w:pPr>
      <w:r w:rsidRPr="008F7B55">
        <w:rPr>
          <w:rFonts w:cstheme="minorHAnsi"/>
        </w:rPr>
        <w:t>Nové sady č. 946/30, 602 00 Brno</w:t>
      </w:r>
    </w:p>
    <w:p w14:paraId="11C9C776" w14:textId="77777777" w:rsidR="00C57715" w:rsidRPr="008F7B55" w:rsidRDefault="00C57715" w:rsidP="00C57715">
      <w:pPr>
        <w:jc w:val="center"/>
        <w:rPr>
          <w:rFonts w:cstheme="minorHAnsi"/>
        </w:rPr>
      </w:pPr>
      <w:r w:rsidRPr="008F7B55">
        <w:rPr>
          <w:rFonts w:cstheme="minorHAnsi"/>
        </w:rPr>
        <w:t>IČ: 26298465</w:t>
      </w:r>
    </w:p>
    <w:p w14:paraId="04F5A987" w14:textId="77777777" w:rsidR="00C57715" w:rsidRPr="008F7B55" w:rsidRDefault="00C57715" w:rsidP="00C57715">
      <w:pPr>
        <w:rPr>
          <w:rFonts w:cstheme="minorHAnsi"/>
        </w:rPr>
      </w:pPr>
    </w:p>
    <w:p w14:paraId="5F75413C" w14:textId="77777777" w:rsidR="00C57715" w:rsidRPr="008F7B55" w:rsidRDefault="00C57715" w:rsidP="00C57715">
      <w:pPr>
        <w:rPr>
          <w:rFonts w:cstheme="minorHAnsi"/>
        </w:rPr>
      </w:pPr>
    </w:p>
    <w:p w14:paraId="3054868C" w14:textId="77777777" w:rsidR="00C57715" w:rsidRPr="008F7B55" w:rsidRDefault="00C57715" w:rsidP="00C57715">
      <w:pPr>
        <w:pStyle w:val="Nadpis5"/>
        <w:rPr>
          <w:rFonts w:cstheme="minorHAnsi"/>
          <w:lang w:val="cs-CZ"/>
        </w:rPr>
      </w:pPr>
      <w:r w:rsidRPr="008F7B55">
        <w:rPr>
          <w:rFonts w:cstheme="minorHAnsi"/>
          <w:lang w:val="cs-CZ"/>
        </w:rPr>
        <w:t>technická část zadávací dokumentace</w:t>
      </w:r>
    </w:p>
    <w:p w14:paraId="4A9A53B9" w14:textId="77777777" w:rsidR="00C57715" w:rsidRPr="008F7B55" w:rsidRDefault="00C57715" w:rsidP="00C57715">
      <w:pPr>
        <w:pStyle w:val="Nadpis5"/>
        <w:rPr>
          <w:rFonts w:cstheme="minorHAnsi"/>
          <w:lang w:val="cs-CZ"/>
        </w:rPr>
      </w:pPr>
      <w:r w:rsidRPr="008F7B55">
        <w:rPr>
          <w:rFonts w:cstheme="minorHAnsi"/>
          <w:lang w:val="cs-CZ"/>
        </w:rPr>
        <w:t xml:space="preserve">na veřejnou zakázku </w:t>
      </w:r>
    </w:p>
    <w:p w14:paraId="1D8ABB3F" w14:textId="5B9A5BBE" w:rsidR="00C57715" w:rsidRPr="008F7B55" w:rsidRDefault="00C57715" w:rsidP="00C57715">
      <w:pPr>
        <w:pStyle w:val="Nadpis5"/>
        <w:rPr>
          <w:rFonts w:cstheme="minorHAnsi"/>
          <w:lang w:val="cs-CZ"/>
        </w:rPr>
      </w:pPr>
      <w:r w:rsidRPr="00DE40A8">
        <w:rPr>
          <w:rStyle w:val="Nadpis5Char"/>
          <w:rFonts w:cstheme="minorHAnsi"/>
          <w:lang w:val="cs-CZ"/>
        </w:rPr>
        <w:t>„</w:t>
      </w:r>
      <w:r w:rsidR="008A181E" w:rsidRPr="008A181E">
        <w:rPr>
          <w:lang w:val="cs-CZ"/>
        </w:rPr>
        <w:t>SW semafory V2X</w:t>
      </w:r>
      <w:r w:rsidRPr="00DE40A8">
        <w:rPr>
          <w:rStyle w:val="Nadpis5Char"/>
          <w:rFonts w:cstheme="minorHAnsi"/>
          <w:lang w:val="cs-CZ"/>
        </w:rPr>
        <w:t>“</w:t>
      </w:r>
    </w:p>
    <w:p w14:paraId="6E3E2DF6" w14:textId="77777777" w:rsidR="00C57715" w:rsidRPr="008F7B55" w:rsidRDefault="00C57715" w:rsidP="00C57715">
      <w:pPr>
        <w:pStyle w:val="Nadpis5"/>
        <w:rPr>
          <w:rFonts w:cstheme="minorHAnsi"/>
          <w:lang w:val="cs-CZ"/>
        </w:rPr>
      </w:pPr>
    </w:p>
    <w:p w14:paraId="62761A8B" w14:textId="77777777" w:rsidR="00C57715" w:rsidRPr="008F7B55" w:rsidRDefault="00C57715" w:rsidP="00C57715">
      <w:pPr>
        <w:rPr>
          <w:rFonts w:cstheme="minorHAnsi"/>
        </w:rPr>
      </w:pPr>
    </w:p>
    <w:p w14:paraId="67E54127" w14:textId="77777777" w:rsidR="00C57715" w:rsidRPr="008F7B55" w:rsidRDefault="00C57715" w:rsidP="00C57715">
      <w:pPr>
        <w:rPr>
          <w:rFonts w:cstheme="minorHAnsi"/>
        </w:rPr>
      </w:pPr>
    </w:p>
    <w:p w14:paraId="61015C45" w14:textId="77777777" w:rsidR="00C57715" w:rsidRPr="008F7B55" w:rsidRDefault="00C57715" w:rsidP="00C57715">
      <w:pPr>
        <w:rPr>
          <w:rFonts w:cstheme="minorHAnsi"/>
        </w:rPr>
      </w:pPr>
    </w:p>
    <w:p w14:paraId="0C3D9A83" w14:textId="77777777" w:rsidR="00C57715" w:rsidRPr="008F7B55" w:rsidRDefault="00C57715" w:rsidP="00C57715">
      <w:pPr>
        <w:rPr>
          <w:rFonts w:cstheme="minorHAnsi"/>
        </w:rPr>
      </w:pPr>
    </w:p>
    <w:p w14:paraId="325D4618" w14:textId="77777777" w:rsidR="00C57715" w:rsidRPr="008F7B55" w:rsidRDefault="00C57715" w:rsidP="00C57715">
      <w:pPr>
        <w:rPr>
          <w:rFonts w:cstheme="minorHAnsi"/>
        </w:rPr>
      </w:pPr>
    </w:p>
    <w:p w14:paraId="7FA485A4" w14:textId="77777777" w:rsidR="00C57715" w:rsidRPr="008F7B55" w:rsidRDefault="00C57715" w:rsidP="00C57715">
      <w:pPr>
        <w:rPr>
          <w:rFonts w:cstheme="minorHAnsi"/>
        </w:rPr>
      </w:pPr>
    </w:p>
    <w:p w14:paraId="65A7D44B" w14:textId="77777777" w:rsidR="00C57715" w:rsidRPr="008F7B55" w:rsidRDefault="00C57715" w:rsidP="00C57715">
      <w:pPr>
        <w:rPr>
          <w:rFonts w:cstheme="minorHAnsi"/>
          <w:b/>
          <w:bCs/>
        </w:rPr>
      </w:pPr>
    </w:p>
    <w:p w14:paraId="72883ADA" w14:textId="77777777" w:rsidR="00C57715" w:rsidRPr="008F7B55" w:rsidRDefault="00C57715" w:rsidP="00C57715">
      <w:pPr>
        <w:rPr>
          <w:rFonts w:cstheme="minorHAnsi"/>
          <w:b/>
          <w:bCs/>
        </w:rPr>
      </w:pPr>
      <w:r w:rsidRPr="008F7B55">
        <w:rPr>
          <w:rFonts w:cstheme="minorHAnsi"/>
          <w:b/>
          <w:bCs/>
        </w:rPr>
        <w:t>Preambule</w:t>
      </w:r>
    </w:p>
    <w:p w14:paraId="6F46B5D4" w14:textId="77777777" w:rsidR="00C57715" w:rsidRPr="008F7B55" w:rsidRDefault="00C57715" w:rsidP="00C57715">
      <w:pPr>
        <w:rPr>
          <w:rFonts w:cstheme="minorHAnsi"/>
        </w:rPr>
      </w:pPr>
      <w:r w:rsidRPr="008F7B55">
        <w:rPr>
          <w:rFonts w:cstheme="minorHAnsi"/>
        </w:rPr>
        <w:t xml:space="preserve">Tato zadávací dokumentace je vypracována jako podklad pro podání nabídek </w:t>
      </w:r>
      <w:r>
        <w:rPr>
          <w:rFonts w:cstheme="minorHAnsi"/>
        </w:rPr>
        <w:t>účastníků</w:t>
      </w:r>
      <w:r w:rsidRPr="008F7B55">
        <w:rPr>
          <w:rFonts w:cstheme="minorHAnsi"/>
        </w:rPr>
        <w:t xml:space="preserve"> podle zákona č.13</w:t>
      </w:r>
      <w:r>
        <w:rPr>
          <w:rFonts w:cstheme="minorHAnsi"/>
        </w:rPr>
        <w:t>4</w:t>
      </w:r>
      <w:r w:rsidRPr="008F7B55">
        <w:rPr>
          <w:rFonts w:cstheme="minorHAnsi"/>
        </w:rPr>
        <w:t>/20</w:t>
      </w:r>
      <w:r>
        <w:rPr>
          <w:rFonts w:cstheme="minorHAnsi"/>
        </w:rPr>
        <w:t>1</w:t>
      </w:r>
      <w:r w:rsidRPr="008F7B55">
        <w:rPr>
          <w:rFonts w:cstheme="minorHAnsi"/>
        </w:rPr>
        <w:t xml:space="preserve">6 Sb., o </w:t>
      </w:r>
      <w:r>
        <w:rPr>
          <w:rFonts w:cstheme="minorHAnsi"/>
        </w:rPr>
        <w:t xml:space="preserve">zadávání </w:t>
      </w:r>
      <w:r w:rsidRPr="008F7B55">
        <w:rPr>
          <w:rFonts w:cstheme="minorHAnsi"/>
        </w:rPr>
        <w:t>veřejných zakáz</w:t>
      </w:r>
      <w:r>
        <w:rPr>
          <w:rFonts w:cstheme="minorHAnsi"/>
        </w:rPr>
        <w:t>ek</w:t>
      </w:r>
      <w:r w:rsidRPr="008F7B55">
        <w:rPr>
          <w:rFonts w:cstheme="minorHAnsi"/>
        </w:rPr>
        <w:t>, ve znění pozdějších předpisů (dále jen „zákon“).</w:t>
      </w:r>
    </w:p>
    <w:p w14:paraId="06BA70F1" w14:textId="77777777" w:rsidR="00C57715" w:rsidRPr="008F7B55" w:rsidRDefault="00C57715" w:rsidP="00C57715">
      <w:pPr>
        <w:rPr>
          <w:rFonts w:cstheme="minorHAnsi"/>
        </w:rPr>
      </w:pPr>
      <w:r w:rsidRPr="008F7B55">
        <w:rPr>
          <w:rFonts w:cstheme="minorHAnsi"/>
        </w:rPr>
        <w:t>Práva, povinnosti či podmínky v této dokumentaci neuvedené se řídí tímto zákonem.</w:t>
      </w:r>
    </w:p>
    <w:p w14:paraId="398B88D2" w14:textId="77777777" w:rsidR="00C57715" w:rsidRPr="008F7B55" w:rsidRDefault="00C57715" w:rsidP="00C57715">
      <w:pPr>
        <w:rPr>
          <w:rFonts w:cstheme="minorHAnsi"/>
          <w:b/>
          <w:bCs/>
          <w:sz w:val="20"/>
          <w:szCs w:val="20"/>
        </w:rPr>
      </w:pPr>
    </w:p>
    <w:p w14:paraId="390CADC4" w14:textId="77777777" w:rsidR="00C57715" w:rsidRPr="008F7B55" w:rsidRDefault="00C57715" w:rsidP="00C57715">
      <w:pPr>
        <w:rPr>
          <w:rFonts w:cstheme="minorHAnsi"/>
        </w:rPr>
      </w:pPr>
      <w:r w:rsidRPr="008F7B55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430D501" wp14:editId="206865B3">
            <wp:simplePos x="0" y="0"/>
            <wp:positionH relativeFrom="column">
              <wp:posOffset>4244975</wp:posOffset>
            </wp:positionH>
            <wp:positionV relativeFrom="paragraph">
              <wp:posOffset>176530</wp:posOffset>
            </wp:positionV>
            <wp:extent cx="1732915" cy="814705"/>
            <wp:effectExtent l="0" t="0" r="635" b="4445"/>
            <wp:wrapNone/>
            <wp:docPr id="4" name="Obrázek 4" descr="Z:\Dokumenty\smlouvy Kordis\Logokord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kumenty\smlouvy Kordis\Logokordi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2EC66" w14:textId="218592C0" w:rsidR="001043E9" w:rsidRPr="00C27C0F" w:rsidRDefault="00C57715" w:rsidP="00C27C0F">
      <w:pPr>
        <w:suppressAutoHyphens w:val="0"/>
        <w:spacing w:before="0" w:after="160" w:line="259" w:lineRule="auto"/>
        <w:jc w:val="left"/>
        <w:rPr>
          <w:rFonts w:cstheme="minorHAnsi"/>
          <w:b/>
          <w:bCs/>
          <w:sz w:val="32"/>
          <w:szCs w:val="32"/>
        </w:rPr>
      </w:pPr>
      <w:r>
        <w:br w:type="page"/>
      </w:r>
      <w:r w:rsidR="00DE40A8" w:rsidRPr="00C27C0F">
        <w:rPr>
          <w:rFonts w:cstheme="minorHAnsi"/>
          <w:b/>
          <w:bCs/>
          <w:sz w:val="32"/>
          <w:szCs w:val="32"/>
        </w:rPr>
        <w:lastRenderedPageBreak/>
        <w:t>Technická specifikace –</w:t>
      </w:r>
      <w:r w:rsidR="00C27C0F">
        <w:rPr>
          <w:rFonts w:cstheme="minorHAnsi"/>
          <w:b/>
          <w:bCs/>
          <w:sz w:val="32"/>
          <w:szCs w:val="32"/>
        </w:rPr>
        <w:t xml:space="preserve"> </w:t>
      </w:r>
      <w:r w:rsidR="00422ACA" w:rsidRPr="00C27C0F">
        <w:rPr>
          <w:rFonts w:cstheme="minorHAnsi"/>
          <w:b/>
          <w:bCs/>
          <w:sz w:val="32"/>
          <w:szCs w:val="32"/>
        </w:rPr>
        <w:t>přenosná návěstní</w:t>
      </w:r>
      <w:r w:rsidR="00443BD9" w:rsidRPr="00C27C0F">
        <w:rPr>
          <w:rFonts w:cstheme="minorHAnsi"/>
          <w:b/>
          <w:bCs/>
          <w:sz w:val="32"/>
          <w:szCs w:val="32"/>
        </w:rPr>
        <w:t xml:space="preserve"> </w:t>
      </w:r>
      <w:r w:rsidR="001043E9" w:rsidRPr="00C27C0F">
        <w:rPr>
          <w:rFonts w:cstheme="minorHAnsi"/>
          <w:b/>
          <w:bCs/>
          <w:sz w:val="32"/>
          <w:szCs w:val="32"/>
        </w:rPr>
        <w:t>sad</w:t>
      </w:r>
      <w:r w:rsidR="00422ACA" w:rsidRPr="00C27C0F">
        <w:rPr>
          <w:rFonts w:cstheme="minorHAnsi"/>
          <w:b/>
          <w:bCs/>
          <w:sz w:val="32"/>
          <w:szCs w:val="32"/>
        </w:rPr>
        <w:t>a</w:t>
      </w:r>
      <w:r w:rsidR="001043E9" w:rsidRPr="00C27C0F">
        <w:rPr>
          <w:rFonts w:cstheme="minorHAnsi"/>
          <w:b/>
          <w:bCs/>
          <w:sz w:val="32"/>
          <w:szCs w:val="32"/>
        </w:rPr>
        <w:t xml:space="preserve"> SSZ pro řízený úsek</w:t>
      </w:r>
      <w:r w:rsidR="00DE40A8" w:rsidRPr="00C27C0F">
        <w:rPr>
          <w:rFonts w:cstheme="minorHAnsi"/>
          <w:b/>
          <w:bCs/>
          <w:sz w:val="32"/>
          <w:szCs w:val="32"/>
        </w:rPr>
        <w:t xml:space="preserve"> s </w:t>
      </w:r>
      <w:r w:rsidR="00422ACA" w:rsidRPr="00C27C0F">
        <w:rPr>
          <w:rFonts w:cstheme="minorHAnsi"/>
          <w:b/>
          <w:bCs/>
          <w:sz w:val="32"/>
          <w:szCs w:val="32"/>
        </w:rPr>
        <w:t>podporou</w:t>
      </w:r>
      <w:r w:rsidR="001043E9" w:rsidRPr="00C27C0F">
        <w:rPr>
          <w:rFonts w:cstheme="minorHAnsi"/>
          <w:b/>
          <w:bCs/>
          <w:sz w:val="32"/>
          <w:szCs w:val="32"/>
        </w:rPr>
        <w:t> V2X</w:t>
      </w:r>
      <w:r w:rsidR="00C27C0F">
        <w:rPr>
          <w:rFonts w:cstheme="minorHAnsi"/>
          <w:b/>
          <w:bCs/>
          <w:sz w:val="32"/>
          <w:szCs w:val="32"/>
        </w:rPr>
        <w:t xml:space="preserve"> </w:t>
      </w:r>
    </w:p>
    <w:p w14:paraId="16C32C86" w14:textId="77777777" w:rsidR="00C27C0F" w:rsidRDefault="00C27C0F" w:rsidP="00443BD9"/>
    <w:p w14:paraId="066C00BE" w14:textId="6E94750B" w:rsidR="00443BD9" w:rsidRPr="00443BD9" w:rsidRDefault="00443BD9" w:rsidP="00443BD9">
      <w:r>
        <w:t>SVĚTELNÉ SIGNALIZAČNÍ ZAŘÍZENÍ pro řízení obousměrného provozu v jednom jízdním pruhu</w:t>
      </w:r>
      <w:r w:rsidR="00EC3864">
        <w:t xml:space="preserve"> (</w:t>
      </w:r>
      <w:r w:rsidR="00422ACA">
        <w:t>dále jen SSZ</w:t>
      </w:r>
      <w:r w:rsidR="00EC3864">
        <w:t>)</w:t>
      </w:r>
      <w:r>
        <w:t>.</w:t>
      </w:r>
    </w:p>
    <w:p w14:paraId="0320731B" w14:textId="3DB471E5" w:rsidR="001043E9" w:rsidRDefault="00B56830" w:rsidP="001043E9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V</w:t>
      </w:r>
      <w:r w:rsidR="001043E9" w:rsidRPr="00C57715">
        <w:rPr>
          <w:rFonts w:cstheme="minorHAnsi"/>
          <w:b/>
          <w:bCs/>
          <w:szCs w:val="24"/>
        </w:rPr>
        <w:t>ýchodiska:</w:t>
      </w:r>
    </w:p>
    <w:p w14:paraId="6AC0E0A8" w14:textId="77777777" w:rsidR="00422ACA" w:rsidRPr="00422ACA" w:rsidRDefault="00443BD9" w:rsidP="00422ACA">
      <w:pPr>
        <w:pStyle w:val="Odstavecseseznamem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422ACA">
        <w:rPr>
          <w:sz w:val="24"/>
          <w:szCs w:val="24"/>
        </w:rPr>
        <w:t xml:space="preserve">Jedná se o zařízení, kterým se pomocí světelných signálů vytvářených na návěstidlech řídí a usměrňuje provoz. </w:t>
      </w:r>
    </w:p>
    <w:p w14:paraId="4923A4A1" w14:textId="1614C6F3" w:rsidR="000E451A" w:rsidRPr="000E451A" w:rsidRDefault="00443BD9" w:rsidP="000E451A">
      <w:pPr>
        <w:pStyle w:val="Odstavecseseznamem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422ACA">
        <w:rPr>
          <w:sz w:val="24"/>
          <w:szCs w:val="24"/>
        </w:rPr>
        <w:t>Přenosná</w:t>
      </w:r>
      <w:r w:rsidR="00FE6F40">
        <w:rPr>
          <w:sz w:val="24"/>
          <w:szCs w:val="24"/>
        </w:rPr>
        <w:t xml:space="preserve"> </w:t>
      </w:r>
      <w:r w:rsidRPr="00422ACA">
        <w:rPr>
          <w:sz w:val="24"/>
          <w:szCs w:val="24"/>
        </w:rPr>
        <w:t xml:space="preserve">souprava bude </w:t>
      </w:r>
      <w:r w:rsidR="00375130">
        <w:rPr>
          <w:sz w:val="24"/>
          <w:szCs w:val="24"/>
        </w:rPr>
        <w:t xml:space="preserve">sestavena </w:t>
      </w:r>
      <w:r w:rsidRPr="00422ACA">
        <w:rPr>
          <w:sz w:val="24"/>
          <w:szCs w:val="24"/>
        </w:rPr>
        <w:t xml:space="preserve">ze </w:t>
      </w:r>
      <w:r w:rsidR="00375130">
        <w:rPr>
          <w:sz w:val="24"/>
          <w:szCs w:val="24"/>
        </w:rPr>
        <w:t>tří</w:t>
      </w:r>
      <w:r w:rsidRPr="00422ACA">
        <w:rPr>
          <w:sz w:val="24"/>
          <w:szCs w:val="24"/>
        </w:rPr>
        <w:t xml:space="preserve"> návěstidel tříbarevné soustavy se stojany</w:t>
      </w:r>
      <w:r w:rsidR="0082790F">
        <w:rPr>
          <w:sz w:val="24"/>
          <w:szCs w:val="24"/>
        </w:rPr>
        <w:t xml:space="preserve"> (pro možnost simulace křižovatky)</w:t>
      </w:r>
      <w:r w:rsidRPr="00422ACA">
        <w:rPr>
          <w:sz w:val="24"/>
          <w:szCs w:val="24"/>
        </w:rPr>
        <w:t>, řadiče</w:t>
      </w:r>
      <w:r w:rsidR="00DA41FE">
        <w:rPr>
          <w:sz w:val="24"/>
          <w:szCs w:val="24"/>
        </w:rPr>
        <w:t xml:space="preserve"> (součástí stojanů)</w:t>
      </w:r>
      <w:r w:rsidRPr="00422ACA">
        <w:rPr>
          <w:sz w:val="24"/>
          <w:szCs w:val="24"/>
        </w:rPr>
        <w:t xml:space="preserve"> a ze zdroje elektrické energie (akumulátorů)</w:t>
      </w:r>
      <w:r w:rsidR="00DA41FE">
        <w:rPr>
          <w:sz w:val="24"/>
          <w:szCs w:val="24"/>
        </w:rPr>
        <w:t xml:space="preserve"> – každé návěstidlo svůj</w:t>
      </w:r>
      <w:r w:rsidRPr="00422ACA">
        <w:rPr>
          <w:sz w:val="24"/>
          <w:szCs w:val="24"/>
        </w:rPr>
        <w:t xml:space="preserve">. </w:t>
      </w:r>
    </w:p>
    <w:p w14:paraId="77424C83" w14:textId="50E054D7" w:rsidR="000E451A" w:rsidRPr="00422ACA" w:rsidRDefault="000E451A" w:rsidP="000E451A">
      <w:pPr>
        <w:pStyle w:val="Odstavecseseznamem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422ACA">
        <w:rPr>
          <w:sz w:val="24"/>
          <w:szCs w:val="24"/>
        </w:rPr>
        <w:t xml:space="preserve">Řízení obousměrného provozu v jednom jízdním pruhu světelnou signalizací bude užito zejména při částečných uzavírkách z důvodu oprav a stavební činnosti na komunikacích. </w:t>
      </w:r>
    </w:p>
    <w:p w14:paraId="457E2CDC" w14:textId="77777777" w:rsidR="000E451A" w:rsidRPr="00422ACA" w:rsidRDefault="000E451A" w:rsidP="000E451A">
      <w:pPr>
        <w:pStyle w:val="Odstavecseseznamem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Předpokládané umístění</w:t>
      </w:r>
      <w:r w:rsidRPr="00422ACA">
        <w:rPr>
          <w:sz w:val="24"/>
          <w:szCs w:val="24"/>
        </w:rPr>
        <w:t xml:space="preserve"> po pravé straně jízdního pruhu, pro který je určeno. </w:t>
      </w:r>
    </w:p>
    <w:p w14:paraId="614AAAA9" w14:textId="20637625" w:rsidR="00422ACA" w:rsidRPr="000E451A" w:rsidRDefault="00422ACA" w:rsidP="00DA41FE">
      <w:pPr>
        <w:pStyle w:val="Odstavecseseznamem"/>
        <w:ind w:firstLine="0"/>
        <w:rPr>
          <w:rFonts w:cstheme="minorHAnsi"/>
          <w:b/>
          <w:bCs/>
          <w:sz w:val="24"/>
          <w:szCs w:val="24"/>
        </w:rPr>
      </w:pPr>
    </w:p>
    <w:p w14:paraId="1325DFD5" w14:textId="0891B059" w:rsidR="000E451A" w:rsidRPr="000E451A" w:rsidRDefault="000E451A" w:rsidP="000E451A">
      <w:pPr>
        <w:rPr>
          <w:rFonts w:cstheme="minorHAnsi"/>
          <w:b/>
          <w:bCs/>
          <w:szCs w:val="24"/>
        </w:rPr>
      </w:pPr>
      <w:r w:rsidRPr="00C57715">
        <w:rPr>
          <w:rFonts w:cstheme="minorHAnsi"/>
          <w:b/>
          <w:bCs/>
          <w:szCs w:val="24"/>
        </w:rPr>
        <w:t xml:space="preserve">Požadavky na </w:t>
      </w:r>
      <w:r>
        <w:rPr>
          <w:rFonts w:cstheme="minorHAnsi"/>
          <w:b/>
          <w:bCs/>
          <w:szCs w:val="24"/>
        </w:rPr>
        <w:t>SSZ</w:t>
      </w:r>
    </w:p>
    <w:p w14:paraId="75470FD2" w14:textId="516DA607" w:rsidR="00DA41FE" w:rsidRPr="00DF02E6" w:rsidRDefault="00DA41FE" w:rsidP="00DA41FE">
      <w:pPr>
        <w:pStyle w:val="Odstavecseseznamem"/>
        <w:numPr>
          <w:ilvl w:val="0"/>
          <w:numId w:val="8"/>
        </w:numPr>
        <w:spacing w:line="256" w:lineRule="auto"/>
        <w:rPr>
          <w:sz w:val="24"/>
          <w:szCs w:val="24"/>
        </w:rPr>
      </w:pPr>
      <w:r w:rsidRPr="00DF02E6">
        <w:rPr>
          <w:sz w:val="24"/>
          <w:szCs w:val="24"/>
        </w:rPr>
        <w:t>Provozní teplota v rozsahu -20 až +55 °C.</w:t>
      </w:r>
    </w:p>
    <w:p w14:paraId="559AC4E4" w14:textId="50F7446D" w:rsidR="00CD1A99" w:rsidRPr="00DF02E6" w:rsidRDefault="00CD1A99" w:rsidP="00CD1A99">
      <w:pPr>
        <w:pStyle w:val="Odstavecseseznamem"/>
        <w:numPr>
          <w:ilvl w:val="0"/>
          <w:numId w:val="8"/>
        </w:numPr>
        <w:spacing w:line="256" w:lineRule="auto"/>
        <w:rPr>
          <w:sz w:val="24"/>
          <w:szCs w:val="24"/>
        </w:rPr>
      </w:pPr>
      <w:r w:rsidRPr="00DF02E6">
        <w:rPr>
          <w:sz w:val="24"/>
          <w:szCs w:val="24"/>
        </w:rPr>
        <w:t>Minimální ochrana IP 54 pro směry shora a s různých bočních stran (IP 43 pro otvory), anti vandal provedení.</w:t>
      </w:r>
    </w:p>
    <w:p w14:paraId="5537078D" w14:textId="46DABE0C" w:rsidR="00EF5257" w:rsidRPr="00DF02E6" w:rsidRDefault="00EF5257" w:rsidP="00DA41FE">
      <w:pPr>
        <w:pStyle w:val="Odstavecseseznamem"/>
        <w:numPr>
          <w:ilvl w:val="0"/>
          <w:numId w:val="8"/>
        </w:numPr>
        <w:spacing w:line="256" w:lineRule="auto"/>
        <w:rPr>
          <w:sz w:val="24"/>
          <w:szCs w:val="24"/>
        </w:rPr>
      </w:pPr>
      <w:r w:rsidRPr="00DF02E6">
        <w:rPr>
          <w:sz w:val="24"/>
          <w:szCs w:val="24"/>
        </w:rPr>
        <w:t xml:space="preserve">Komunikace </w:t>
      </w:r>
      <w:r w:rsidR="00FB3158">
        <w:rPr>
          <w:sz w:val="24"/>
          <w:szCs w:val="24"/>
        </w:rPr>
        <w:t xml:space="preserve">každého </w:t>
      </w:r>
      <w:r w:rsidRPr="00DF02E6">
        <w:rPr>
          <w:sz w:val="24"/>
          <w:szCs w:val="24"/>
        </w:rPr>
        <w:t>SSZ s bac</w:t>
      </w:r>
      <w:r w:rsidR="00DF02E6" w:rsidRPr="00DF02E6">
        <w:rPr>
          <w:sz w:val="24"/>
          <w:szCs w:val="24"/>
        </w:rPr>
        <w:t>ko</w:t>
      </w:r>
      <w:r w:rsidRPr="00DF02E6">
        <w:rPr>
          <w:sz w:val="24"/>
          <w:szCs w:val="24"/>
        </w:rPr>
        <w:t>ffice musí probíhat přes GSM modem.</w:t>
      </w:r>
    </w:p>
    <w:p w14:paraId="36D821FE" w14:textId="0B226E56" w:rsidR="00422ACA" w:rsidRPr="00DF02E6" w:rsidRDefault="00443BD9" w:rsidP="00422ACA">
      <w:pPr>
        <w:pStyle w:val="Odstavecseseznamem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DF02E6">
        <w:rPr>
          <w:sz w:val="24"/>
          <w:szCs w:val="24"/>
        </w:rPr>
        <w:t>Spodní okraj návěstní plochy musí být ve výšce min. 1,8 m nad úrovní vozovky. Průměr světelných polí je 200 mm</w:t>
      </w:r>
      <w:r w:rsidR="00CD1A99" w:rsidRPr="00DF02E6">
        <w:rPr>
          <w:sz w:val="24"/>
          <w:szCs w:val="24"/>
        </w:rPr>
        <w:t xml:space="preserve"> s použitím LED technologie</w:t>
      </w:r>
      <w:r w:rsidRPr="00DF02E6">
        <w:rPr>
          <w:sz w:val="24"/>
          <w:szCs w:val="24"/>
        </w:rPr>
        <w:t>.</w:t>
      </w:r>
    </w:p>
    <w:p w14:paraId="2094928C" w14:textId="1C66F090" w:rsidR="000E451A" w:rsidRPr="00C321BB" w:rsidRDefault="00422ACA" w:rsidP="001D6E78">
      <w:pPr>
        <w:pStyle w:val="Odstavecseseznamem"/>
        <w:numPr>
          <w:ilvl w:val="0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DF02E6">
        <w:rPr>
          <w:sz w:val="24"/>
          <w:szCs w:val="24"/>
        </w:rPr>
        <w:t>S</w:t>
      </w:r>
      <w:r w:rsidR="00443BD9" w:rsidRPr="00DF02E6">
        <w:rPr>
          <w:sz w:val="24"/>
          <w:szCs w:val="24"/>
        </w:rPr>
        <w:t>ynchronizace návěstidel</w:t>
      </w:r>
      <w:r w:rsidRPr="00DF02E6">
        <w:rPr>
          <w:sz w:val="24"/>
          <w:szCs w:val="24"/>
        </w:rPr>
        <w:t xml:space="preserve"> bude r</w:t>
      </w:r>
      <w:r w:rsidR="00443BD9" w:rsidRPr="00DF02E6">
        <w:rPr>
          <w:sz w:val="24"/>
          <w:szCs w:val="24"/>
        </w:rPr>
        <w:t>ádiovým přenosem – zachovává zpětnou vazbu mezi návěstidly</w:t>
      </w:r>
      <w:r w:rsidRPr="00DF02E6">
        <w:rPr>
          <w:sz w:val="24"/>
          <w:szCs w:val="24"/>
        </w:rPr>
        <w:t xml:space="preserve"> s dosahem minimálně</w:t>
      </w:r>
      <w:r w:rsidR="00443BD9" w:rsidRPr="00DF02E6">
        <w:rPr>
          <w:sz w:val="24"/>
          <w:szCs w:val="24"/>
        </w:rPr>
        <w:t xml:space="preserve"> </w:t>
      </w:r>
      <w:r w:rsidR="00E7218F" w:rsidRPr="00DF02E6">
        <w:rPr>
          <w:sz w:val="24"/>
          <w:szCs w:val="24"/>
        </w:rPr>
        <w:t>6</w:t>
      </w:r>
      <w:r w:rsidR="00443BD9" w:rsidRPr="00DF02E6">
        <w:rPr>
          <w:sz w:val="24"/>
          <w:szCs w:val="24"/>
        </w:rPr>
        <w:t>00 m</w:t>
      </w:r>
      <w:r w:rsidRPr="00DF02E6">
        <w:rPr>
          <w:sz w:val="24"/>
          <w:szCs w:val="24"/>
        </w:rPr>
        <w:t xml:space="preserve"> v otevřeném terénu</w:t>
      </w:r>
      <w:r w:rsidR="00E7218F" w:rsidRPr="00DF02E6">
        <w:rPr>
          <w:sz w:val="24"/>
          <w:szCs w:val="24"/>
        </w:rPr>
        <w:t xml:space="preserve"> a alternativně kabelovým </w:t>
      </w:r>
      <w:r w:rsidR="00E7218F" w:rsidRPr="00C321BB">
        <w:rPr>
          <w:sz w:val="24"/>
          <w:szCs w:val="24"/>
        </w:rPr>
        <w:t xml:space="preserve">propojením </w:t>
      </w:r>
      <w:r w:rsidR="00FB3158" w:rsidRPr="00C321BB">
        <w:rPr>
          <w:sz w:val="24"/>
          <w:szCs w:val="24"/>
        </w:rPr>
        <w:t>minimáln</w:t>
      </w:r>
      <w:r w:rsidR="00496760" w:rsidRPr="00C321BB">
        <w:rPr>
          <w:sz w:val="24"/>
          <w:szCs w:val="24"/>
        </w:rPr>
        <w:t>í</w:t>
      </w:r>
      <w:r w:rsidR="00E7218F" w:rsidRPr="00C321BB">
        <w:rPr>
          <w:sz w:val="24"/>
          <w:szCs w:val="24"/>
        </w:rPr>
        <w:t xml:space="preserve"> délky 1</w:t>
      </w:r>
      <w:r w:rsidR="007C4206" w:rsidRPr="00C321BB">
        <w:rPr>
          <w:sz w:val="24"/>
          <w:szCs w:val="24"/>
        </w:rPr>
        <w:t>5</w:t>
      </w:r>
      <w:r w:rsidR="00E7218F" w:rsidRPr="00C321BB">
        <w:rPr>
          <w:sz w:val="24"/>
          <w:szCs w:val="24"/>
        </w:rPr>
        <w:t>00 m.</w:t>
      </w:r>
    </w:p>
    <w:p w14:paraId="1D643A28" w14:textId="77777777" w:rsidR="00FB3158" w:rsidRPr="00C321BB" w:rsidRDefault="001043E9" w:rsidP="00FB3158">
      <w:pPr>
        <w:pStyle w:val="Odstavecseseznamem"/>
        <w:numPr>
          <w:ilvl w:val="0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82790F">
        <w:rPr>
          <w:rFonts w:cstheme="minorHAnsi"/>
          <w:b/>
          <w:bCs/>
          <w:sz w:val="24"/>
          <w:szCs w:val="24"/>
        </w:rPr>
        <w:t xml:space="preserve">Podpora komunikace V2X (ITS-G5) bude součástí </w:t>
      </w:r>
      <w:r w:rsidR="00851846" w:rsidRPr="0082790F">
        <w:rPr>
          <w:rFonts w:cstheme="minorHAnsi"/>
          <w:b/>
          <w:bCs/>
          <w:sz w:val="24"/>
          <w:szCs w:val="24"/>
        </w:rPr>
        <w:t xml:space="preserve">každého </w:t>
      </w:r>
      <w:r w:rsidR="00443BD9" w:rsidRPr="0082790F">
        <w:rPr>
          <w:rFonts w:cstheme="minorHAnsi"/>
          <w:b/>
          <w:bCs/>
          <w:sz w:val="24"/>
          <w:szCs w:val="24"/>
        </w:rPr>
        <w:t>SSZ</w:t>
      </w:r>
      <w:r w:rsidRPr="00C321BB">
        <w:rPr>
          <w:rFonts w:cstheme="minorHAnsi"/>
          <w:sz w:val="24"/>
          <w:szCs w:val="24"/>
        </w:rPr>
        <w:t xml:space="preserve"> (integrovaná jednotka RSU).</w:t>
      </w:r>
    </w:p>
    <w:p w14:paraId="640C35E8" w14:textId="26FA9301" w:rsidR="00851846" w:rsidRPr="00C321BB" w:rsidRDefault="00851846" w:rsidP="00FB3158">
      <w:pPr>
        <w:pStyle w:val="Odstavecseseznamem"/>
        <w:numPr>
          <w:ilvl w:val="1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C321BB">
        <w:rPr>
          <w:rFonts w:cstheme="minorHAnsi"/>
          <w:sz w:val="24"/>
          <w:szCs w:val="24"/>
        </w:rPr>
        <w:t>Nastavení okruhu SSZ pro detekci vozidla V2X, s prioritizací směru v závislosti na provozních hodinách</w:t>
      </w:r>
      <w:r w:rsidR="003E59DC" w:rsidRPr="00C321BB">
        <w:rPr>
          <w:rFonts w:cstheme="minorHAnsi"/>
          <w:sz w:val="24"/>
          <w:szCs w:val="24"/>
        </w:rPr>
        <w:t xml:space="preserve"> </w:t>
      </w:r>
      <w:r w:rsidR="00FB3158" w:rsidRPr="00C321BB">
        <w:rPr>
          <w:rFonts w:cstheme="minorHAnsi"/>
          <w:sz w:val="24"/>
          <w:szCs w:val="24"/>
        </w:rPr>
        <w:t>– počet nastavení / scénářů min. 2.</w:t>
      </w:r>
    </w:p>
    <w:p w14:paraId="773BBCCF" w14:textId="7D39B9A6" w:rsidR="00496760" w:rsidRPr="00C321BB" w:rsidRDefault="00307533" w:rsidP="00010E6A">
      <w:pPr>
        <w:pStyle w:val="Odstavecseseznamem"/>
        <w:numPr>
          <w:ilvl w:val="1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C321BB">
        <w:rPr>
          <w:rFonts w:cstheme="minorHAnsi"/>
          <w:sz w:val="24"/>
          <w:szCs w:val="24"/>
        </w:rPr>
        <w:t>Komunikace s vozidly DPMB i VLD KORDIS</w:t>
      </w:r>
      <w:r w:rsidR="00496760" w:rsidRPr="00C321BB">
        <w:rPr>
          <w:rFonts w:cstheme="minorHAnsi"/>
          <w:sz w:val="24"/>
          <w:szCs w:val="24"/>
        </w:rPr>
        <w:t>.</w:t>
      </w:r>
    </w:p>
    <w:p w14:paraId="09FDD41C" w14:textId="77777777" w:rsidR="00C321BB" w:rsidRPr="00C321BB" w:rsidRDefault="00496760" w:rsidP="00C321BB">
      <w:pPr>
        <w:pStyle w:val="Odstavecseseznamem"/>
        <w:numPr>
          <w:ilvl w:val="1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C321BB">
        <w:rPr>
          <w:rFonts w:cstheme="minorHAnsi"/>
          <w:sz w:val="24"/>
          <w:szCs w:val="24"/>
        </w:rPr>
        <w:t>U</w:t>
      </w:r>
      <w:r w:rsidR="00307533" w:rsidRPr="00C321BB">
        <w:rPr>
          <w:rFonts w:cstheme="minorHAnsi"/>
          <w:sz w:val="24"/>
          <w:szCs w:val="24"/>
        </w:rPr>
        <w:t>možnění průjezdu tzv. červenou vlnou pro zásahové vozidla IZS (HZS, ZZS, PČR).</w:t>
      </w:r>
    </w:p>
    <w:p w14:paraId="773550FD" w14:textId="77777777" w:rsidR="00C321BB" w:rsidRPr="00C321BB" w:rsidRDefault="00C321BB" w:rsidP="00C321BB">
      <w:pPr>
        <w:pStyle w:val="Odstavecseseznamem"/>
        <w:numPr>
          <w:ilvl w:val="1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C321BB">
        <w:rPr>
          <w:sz w:val="24"/>
          <w:szCs w:val="24"/>
        </w:rPr>
        <w:t>RSU bude konfigurováno jako standardní RSU pro křižovatku. Bude tedy pravidelně vysílat:</w:t>
      </w:r>
    </w:p>
    <w:p w14:paraId="10EA8FDB" w14:textId="09E76DD8" w:rsidR="00C321BB" w:rsidRPr="00C321BB" w:rsidRDefault="00C321BB" w:rsidP="00C321BB">
      <w:pPr>
        <w:pStyle w:val="Odstavecseseznamem"/>
        <w:numPr>
          <w:ilvl w:val="2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C321BB">
        <w:rPr>
          <w:sz w:val="24"/>
          <w:szCs w:val="24"/>
        </w:rPr>
        <w:t>Zprávu MAPEM, pomocí které do vozu sdělí topologii příjezdu k uzavírce, včetně jednotlivých jízdních pruhů. Tuto zprávu bude třeba vytvořit v konfiguraci RSU před umístěním do terénu.</w:t>
      </w:r>
    </w:p>
    <w:p w14:paraId="6A10DE39" w14:textId="05C3588B" w:rsidR="00C321BB" w:rsidRPr="00C321BB" w:rsidRDefault="00C321BB" w:rsidP="00C321BB">
      <w:pPr>
        <w:pStyle w:val="Odstavecseseznamem"/>
        <w:numPr>
          <w:ilvl w:val="2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C321BB">
        <w:rPr>
          <w:sz w:val="24"/>
          <w:szCs w:val="24"/>
        </w:rPr>
        <w:t xml:space="preserve">Zprávu SPATEM, </w:t>
      </w:r>
      <w:r>
        <w:rPr>
          <w:sz w:val="24"/>
          <w:szCs w:val="24"/>
        </w:rPr>
        <w:t>pro</w:t>
      </w:r>
      <w:r w:rsidRPr="00C321BB">
        <w:rPr>
          <w:sz w:val="24"/>
          <w:szCs w:val="24"/>
        </w:rPr>
        <w:t xml:space="preserve"> vyč</w:t>
      </w:r>
      <w:r>
        <w:rPr>
          <w:sz w:val="24"/>
          <w:szCs w:val="24"/>
        </w:rPr>
        <w:t>tení</w:t>
      </w:r>
      <w:r w:rsidRPr="00C321BB">
        <w:rPr>
          <w:sz w:val="24"/>
          <w:szCs w:val="24"/>
        </w:rPr>
        <w:t xml:space="preserve"> stav</w:t>
      </w:r>
      <w:r>
        <w:rPr>
          <w:sz w:val="24"/>
          <w:szCs w:val="24"/>
        </w:rPr>
        <w:t>u</w:t>
      </w:r>
      <w:r w:rsidRPr="00C321BB">
        <w:rPr>
          <w:sz w:val="24"/>
          <w:szCs w:val="24"/>
        </w:rPr>
        <w:t xml:space="preserve"> </w:t>
      </w:r>
      <w:r>
        <w:rPr>
          <w:sz w:val="24"/>
          <w:szCs w:val="24"/>
        </w:rPr>
        <w:t>SSZ</w:t>
      </w:r>
      <w:r w:rsidRPr="00C321BB">
        <w:rPr>
          <w:sz w:val="24"/>
          <w:szCs w:val="24"/>
        </w:rPr>
        <w:t xml:space="preserve"> (zelená x červená)</w:t>
      </w:r>
    </w:p>
    <w:p w14:paraId="55AAEA97" w14:textId="77777777" w:rsidR="00C321BB" w:rsidRPr="00C321BB" w:rsidRDefault="00C321BB" w:rsidP="00C321BB">
      <w:pPr>
        <w:pStyle w:val="Odstavecseseznamem"/>
        <w:numPr>
          <w:ilvl w:val="1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C321BB">
        <w:rPr>
          <w:sz w:val="24"/>
          <w:szCs w:val="24"/>
        </w:rPr>
        <w:t>Vozidlo (=OBU na vozidle) odvysílá požadavek na preferenci (zprávu SREM), jakmile vjede na jeden z jízdních pruhů, definovaných ve zprávě MAPEM. Požadavek ze strany vozu tedy nevyžaduje žádnou předchozí konfiguraci.</w:t>
      </w:r>
    </w:p>
    <w:p w14:paraId="37374370" w14:textId="2D8B7C34" w:rsidR="00C321BB" w:rsidRPr="00C321BB" w:rsidRDefault="00C321BB" w:rsidP="00C321BB">
      <w:pPr>
        <w:pStyle w:val="Odstavecseseznamem"/>
        <w:numPr>
          <w:ilvl w:val="1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C321BB">
        <w:rPr>
          <w:sz w:val="24"/>
          <w:szCs w:val="24"/>
        </w:rPr>
        <w:lastRenderedPageBreak/>
        <w:t>Po přijetí požadavku SREM informuje RSU řadič semaforu o požadavku na preferenci a spustí vysílání zprávy SSEM.</w:t>
      </w:r>
    </w:p>
    <w:p w14:paraId="720E04BC" w14:textId="7C2AF050" w:rsidR="00C321BB" w:rsidRPr="00C321BB" w:rsidRDefault="00C321BB" w:rsidP="00C321BB">
      <w:pPr>
        <w:pStyle w:val="Odstavecseseznamem"/>
        <w:numPr>
          <w:ilvl w:val="1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C321BB">
        <w:rPr>
          <w:sz w:val="24"/>
          <w:szCs w:val="24"/>
        </w:rPr>
        <w:t>Preference je aktivní po dobu žádosti z vozu, případně po určitý čas (+</w:t>
      </w:r>
      <w:r>
        <w:rPr>
          <w:sz w:val="24"/>
          <w:szCs w:val="24"/>
        </w:rPr>
        <w:t xml:space="preserve"> </w:t>
      </w:r>
      <w:proofErr w:type="spellStart"/>
      <w:r w:rsidRPr="00C321BB">
        <w:rPr>
          <w:sz w:val="24"/>
          <w:szCs w:val="24"/>
        </w:rPr>
        <w:t>timeout</w:t>
      </w:r>
      <w:proofErr w:type="spellEnd"/>
      <w:r w:rsidRPr="00C321BB">
        <w:rPr>
          <w:sz w:val="24"/>
          <w:szCs w:val="24"/>
        </w:rPr>
        <w:t>).</w:t>
      </w:r>
    </w:p>
    <w:p w14:paraId="11777EF2" w14:textId="1E0C2016" w:rsidR="00C321BB" w:rsidRPr="00C321BB" w:rsidRDefault="00C321BB" w:rsidP="00C321BB">
      <w:pPr>
        <w:pStyle w:val="Odstavecseseznamem"/>
        <w:numPr>
          <w:ilvl w:val="1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C321BB">
        <w:rPr>
          <w:sz w:val="24"/>
          <w:szCs w:val="24"/>
        </w:rPr>
        <w:t>Na základě zprávy SSEM může OBU informovat palubní počítat, že požadavek na preferenci byl doručen. Řidič se tak může dozvědět, že preference je aktivní a že systém funguje / nefunguje.</w:t>
      </w:r>
    </w:p>
    <w:p w14:paraId="4144567E" w14:textId="6934070C" w:rsidR="001043E9" w:rsidRPr="00C321BB" w:rsidRDefault="001043E9" w:rsidP="001043E9">
      <w:pPr>
        <w:numPr>
          <w:ilvl w:val="0"/>
          <w:numId w:val="1"/>
        </w:numPr>
        <w:suppressAutoHyphens w:val="0"/>
        <w:spacing w:before="0" w:after="0"/>
        <w:jc w:val="left"/>
        <w:rPr>
          <w:rFonts w:cstheme="minorHAnsi"/>
          <w:szCs w:val="24"/>
        </w:rPr>
      </w:pPr>
      <w:r w:rsidRPr="00C321BB">
        <w:rPr>
          <w:rFonts w:cstheme="minorHAnsi"/>
          <w:szCs w:val="24"/>
        </w:rPr>
        <w:t>Automatické řízení střídavého provozu SSZ</w:t>
      </w:r>
      <w:r w:rsidR="00E94776" w:rsidRPr="00C321BB">
        <w:rPr>
          <w:rFonts w:cstheme="minorHAnsi"/>
          <w:szCs w:val="24"/>
        </w:rPr>
        <w:t xml:space="preserve">, s možností manuálního přepnutí do výstrahy, červené a deaktivace za pomocí klíčového přepínače. </w:t>
      </w:r>
    </w:p>
    <w:p w14:paraId="5FA1F4C4" w14:textId="40F620E3" w:rsidR="001D2965" w:rsidRPr="00DF02E6" w:rsidRDefault="001043E9" w:rsidP="001D296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21BB">
        <w:rPr>
          <w:rFonts w:cstheme="minorHAnsi"/>
          <w:sz w:val="24"/>
          <w:szCs w:val="24"/>
        </w:rPr>
        <w:t>Uživatelské nastavení všech časových smyček v závislosti na provozních hodinách a kalendářních dnů –</w:t>
      </w:r>
      <w:r w:rsidR="00010E6A" w:rsidRPr="00C321BB">
        <w:rPr>
          <w:rFonts w:cstheme="minorHAnsi"/>
          <w:sz w:val="24"/>
          <w:szCs w:val="24"/>
        </w:rPr>
        <w:t xml:space="preserve"> </w:t>
      </w:r>
      <w:r w:rsidRPr="00C321BB">
        <w:rPr>
          <w:rFonts w:cstheme="minorHAnsi"/>
          <w:sz w:val="24"/>
          <w:szCs w:val="24"/>
        </w:rPr>
        <w:t>počet</w:t>
      </w:r>
      <w:r w:rsidR="00443BD9" w:rsidRPr="00C321BB">
        <w:rPr>
          <w:rFonts w:cstheme="minorHAnsi"/>
          <w:sz w:val="24"/>
          <w:szCs w:val="24"/>
        </w:rPr>
        <w:t xml:space="preserve"> nastavení</w:t>
      </w:r>
      <w:r w:rsidR="00443BD9" w:rsidRPr="00DF02E6">
        <w:rPr>
          <w:rFonts w:cstheme="minorHAnsi"/>
          <w:sz w:val="24"/>
          <w:szCs w:val="24"/>
        </w:rPr>
        <w:t xml:space="preserve"> / scénářů</w:t>
      </w:r>
      <w:r w:rsidR="00010E6A" w:rsidRPr="00DF02E6">
        <w:rPr>
          <w:rFonts w:cstheme="minorHAnsi"/>
          <w:sz w:val="24"/>
          <w:szCs w:val="24"/>
        </w:rPr>
        <w:t xml:space="preserve"> min. 5</w:t>
      </w:r>
      <w:r w:rsidR="00EF5257" w:rsidRPr="00DF02E6">
        <w:rPr>
          <w:rFonts w:cstheme="minorHAnsi"/>
          <w:sz w:val="24"/>
          <w:szCs w:val="24"/>
        </w:rPr>
        <w:t>.</w:t>
      </w:r>
    </w:p>
    <w:p w14:paraId="4A3EC631" w14:textId="05D55808" w:rsidR="001C3E04" w:rsidRPr="00DF02E6" w:rsidRDefault="001C3E04" w:rsidP="001D296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F02E6">
        <w:rPr>
          <w:rFonts w:cstheme="minorHAnsi"/>
          <w:sz w:val="24"/>
          <w:szCs w:val="24"/>
        </w:rPr>
        <w:t xml:space="preserve">Možnost zapojení </w:t>
      </w:r>
      <w:r w:rsidR="00375130">
        <w:rPr>
          <w:rFonts w:cstheme="minorHAnsi"/>
          <w:sz w:val="24"/>
          <w:szCs w:val="24"/>
        </w:rPr>
        <w:t xml:space="preserve">do dvou nebo </w:t>
      </w:r>
      <w:r w:rsidRPr="00DF02E6">
        <w:rPr>
          <w:rFonts w:cstheme="minorHAnsi"/>
          <w:sz w:val="24"/>
          <w:szCs w:val="24"/>
        </w:rPr>
        <w:t>tříramenného provozu SSZ.</w:t>
      </w:r>
    </w:p>
    <w:p w14:paraId="02B0DBB7" w14:textId="3DF86269" w:rsidR="001D2965" w:rsidRPr="00DF02E6" w:rsidRDefault="001D2965" w:rsidP="001D296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F02E6">
        <w:rPr>
          <w:rFonts w:cstheme="minorHAnsi"/>
          <w:sz w:val="24"/>
          <w:szCs w:val="24"/>
        </w:rPr>
        <w:t>Denní / noční provoz</w:t>
      </w:r>
      <w:r w:rsidR="001C3E04" w:rsidRPr="00DF02E6">
        <w:rPr>
          <w:rFonts w:cstheme="minorHAnsi"/>
          <w:sz w:val="24"/>
          <w:szCs w:val="24"/>
        </w:rPr>
        <w:t xml:space="preserve"> soumrakovým čidlem, regulace jasu světelných polí.</w:t>
      </w:r>
    </w:p>
    <w:p w14:paraId="0B7F251D" w14:textId="36BBE7B2" w:rsidR="001043E9" w:rsidRPr="00DF02E6" w:rsidRDefault="001D2965" w:rsidP="001D296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F02E6">
        <w:rPr>
          <w:rFonts w:cstheme="minorHAnsi"/>
          <w:sz w:val="24"/>
          <w:szCs w:val="24"/>
        </w:rPr>
        <w:t>Provoz v úsporném režimu, aktivace SSZ pouze po zaznamenání příjezdu vozidla s V2X</w:t>
      </w:r>
      <w:r w:rsidR="00010E6A" w:rsidRPr="00DF02E6">
        <w:rPr>
          <w:rFonts w:cstheme="minorHAnsi"/>
          <w:sz w:val="24"/>
          <w:szCs w:val="24"/>
        </w:rPr>
        <w:t>, s</w:t>
      </w:r>
      <w:r w:rsidR="00DF02E6">
        <w:rPr>
          <w:rFonts w:cstheme="minorHAnsi"/>
          <w:sz w:val="24"/>
          <w:szCs w:val="24"/>
        </w:rPr>
        <w:t xml:space="preserve"> možností</w:t>
      </w:r>
      <w:r w:rsidR="00010E6A" w:rsidRPr="00DF02E6">
        <w:rPr>
          <w:rFonts w:cstheme="minorHAnsi"/>
          <w:sz w:val="24"/>
          <w:szCs w:val="24"/>
        </w:rPr>
        <w:t> nastavením směru preference jízdy vozidla V2X.</w:t>
      </w:r>
    </w:p>
    <w:p w14:paraId="6A688A8D" w14:textId="2F1D88B0" w:rsidR="00EF5257" w:rsidRPr="00DF02E6" w:rsidRDefault="00EF5257" w:rsidP="001D296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F02E6">
        <w:rPr>
          <w:rFonts w:cstheme="minorHAnsi"/>
          <w:sz w:val="24"/>
          <w:szCs w:val="24"/>
        </w:rPr>
        <w:t xml:space="preserve">Čidlo </w:t>
      </w:r>
      <w:r w:rsidR="00010E6A" w:rsidRPr="00DF02E6">
        <w:rPr>
          <w:rFonts w:cstheme="minorHAnsi"/>
          <w:sz w:val="24"/>
          <w:szCs w:val="24"/>
        </w:rPr>
        <w:t>(</w:t>
      </w:r>
      <w:r w:rsidRPr="00DF02E6">
        <w:rPr>
          <w:rFonts w:cstheme="minorHAnsi"/>
          <w:sz w:val="24"/>
          <w:szCs w:val="24"/>
        </w:rPr>
        <w:t xml:space="preserve">součást </w:t>
      </w:r>
      <w:r w:rsidR="00DF02E6">
        <w:rPr>
          <w:rFonts w:cstheme="minorHAnsi"/>
          <w:sz w:val="24"/>
          <w:szCs w:val="24"/>
        </w:rPr>
        <w:t xml:space="preserve">všech </w:t>
      </w:r>
      <w:r w:rsidRPr="00DF02E6">
        <w:rPr>
          <w:rFonts w:cstheme="minorHAnsi"/>
          <w:sz w:val="24"/>
          <w:szCs w:val="24"/>
        </w:rPr>
        <w:t>SSZ</w:t>
      </w:r>
      <w:r w:rsidR="00010E6A" w:rsidRPr="00DF02E6">
        <w:rPr>
          <w:rFonts w:cstheme="minorHAnsi"/>
          <w:sz w:val="24"/>
          <w:szCs w:val="24"/>
        </w:rPr>
        <w:t>),</w:t>
      </w:r>
      <w:r w:rsidRPr="00DF02E6">
        <w:rPr>
          <w:rFonts w:cstheme="minorHAnsi"/>
          <w:sz w:val="24"/>
          <w:szCs w:val="24"/>
        </w:rPr>
        <w:t xml:space="preserve"> s nastavením počtu vozidel pro sledování obsazenosti před SSZ pro dynamické řízení průjezdu</w:t>
      </w:r>
      <w:r w:rsidR="00010E6A" w:rsidRPr="00DF02E6">
        <w:rPr>
          <w:rFonts w:cstheme="minorHAnsi"/>
          <w:sz w:val="24"/>
          <w:szCs w:val="24"/>
        </w:rPr>
        <w:t>.</w:t>
      </w:r>
    </w:p>
    <w:p w14:paraId="03DCAEF6" w14:textId="12E1BAA6" w:rsidR="00D508F7" w:rsidRPr="00DF02E6" w:rsidRDefault="00422ACA" w:rsidP="00443BD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F02E6">
        <w:rPr>
          <w:rFonts w:cstheme="minorHAnsi"/>
          <w:sz w:val="24"/>
          <w:szCs w:val="24"/>
        </w:rPr>
        <w:t xml:space="preserve">Akumulátory s dobou provozu minimálně </w:t>
      </w:r>
      <w:r w:rsidR="000E451A" w:rsidRPr="00DF02E6">
        <w:rPr>
          <w:rFonts w:cstheme="minorHAnsi"/>
          <w:sz w:val="24"/>
          <w:szCs w:val="24"/>
        </w:rPr>
        <w:t>48 hodin</w:t>
      </w:r>
      <w:r w:rsidR="001C3E04" w:rsidRPr="00DF02E6">
        <w:rPr>
          <w:rFonts w:cstheme="minorHAnsi"/>
          <w:sz w:val="24"/>
          <w:szCs w:val="24"/>
        </w:rPr>
        <w:t xml:space="preserve"> (zimní provoz),</w:t>
      </w:r>
      <w:r w:rsidR="00EF5257" w:rsidRPr="00DF02E6">
        <w:rPr>
          <w:rFonts w:cstheme="minorHAnsi"/>
          <w:sz w:val="24"/>
          <w:szCs w:val="24"/>
        </w:rPr>
        <w:t xml:space="preserve"> s přenosem stavu akumulátorů do backoffice – varování před vybitím.</w:t>
      </w:r>
    </w:p>
    <w:p w14:paraId="2A5A24A3" w14:textId="3CBDB50C" w:rsidR="00E7218F" w:rsidRPr="00DF02E6" w:rsidRDefault="00375130" w:rsidP="00443BD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E7218F" w:rsidRPr="00DF02E6">
        <w:rPr>
          <w:rFonts w:cstheme="minorHAnsi"/>
          <w:sz w:val="24"/>
          <w:szCs w:val="24"/>
        </w:rPr>
        <w:t xml:space="preserve">x synchronizační kabelové propojení v délce </w:t>
      </w:r>
      <w:r w:rsidR="00DA41FE" w:rsidRPr="00DF02E6">
        <w:rPr>
          <w:rFonts w:cstheme="minorHAnsi"/>
          <w:sz w:val="24"/>
          <w:szCs w:val="24"/>
        </w:rPr>
        <w:t>5</w:t>
      </w:r>
      <w:r w:rsidR="00E7218F" w:rsidRPr="00DF02E6">
        <w:rPr>
          <w:rFonts w:cstheme="minorHAnsi"/>
          <w:sz w:val="24"/>
          <w:szCs w:val="24"/>
        </w:rPr>
        <w:t>00 m a 1000 m</w:t>
      </w:r>
      <w:r w:rsidR="00FB3158">
        <w:rPr>
          <w:rFonts w:cstheme="minorHAnsi"/>
          <w:sz w:val="24"/>
          <w:szCs w:val="24"/>
        </w:rPr>
        <w:t xml:space="preserve"> </w:t>
      </w:r>
      <w:r w:rsidR="007C4206">
        <w:rPr>
          <w:rFonts w:cstheme="minorHAnsi"/>
          <w:sz w:val="24"/>
          <w:szCs w:val="24"/>
        </w:rPr>
        <w:t>vzájemně spojitelné do délky 1500</w:t>
      </w:r>
      <w:r w:rsidR="00F130FA">
        <w:rPr>
          <w:rFonts w:cstheme="minorHAnsi"/>
          <w:sz w:val="24"/>
          <w:szCs w:val="24"/>
        </w:rPr>
        <w:t xml:space="preserve"> </w:t>
      </w:r>
      <w:r w:rsidR="007C4206">
        <w:rPr>
          <w:rFonts w:cstheme="minorHAnsi"/>
          <w:sz w:val="24"/>
          <w:szCs w:val="24"/>
        </w:rPr>
        <w:t xml:space="preserve">m </w:t>
      </w:r>
      <w:r w:rsidR="00FB3158">
        <w:rPr>
          <w:rFonts w:cstheme="minorHAnsi"/>
          <w:sz w:val="24"/>
          <w:szCs w:val="24"/>
        </w:rPr>
        <w:t>navinuté na buben</w:t>
      </w:r>
      <w:r w:rsidR="00E7218F" w:rsidRPr="00DF02E6">
        <w:rPr>
          <w:rFonts w:cstheme="minorHAnsi"/>
          <w:sz w:val="24"/>
          <w:szCs w:val="24"/>
        </w:rPr>
        <w:t>.</w:t>
      </w:r>
    </w:p>
    <w:p w14:paraId="4234F6EA" w14:textId="572C7EFB" w:rsidR="000E451A" w:rsidRPr="00DF02E6" w:rsidRDefault="00375130" w:rsidP="00443BD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0E451A" w:rsidRPr="00DF02E6">
        <w:rPr>
          <w:rFonts w:cstheme="minorHAnsi"/>
          <w:sz w:val="24"/>
          <w:szCs w:val="24"/>
        </w:rPr>
        <w:t xml:space="preserve">x navíc náhradní akumulátor včetně </w:t>
      </w:r>
      <w:r>
        <w:rPr>
          <w:rFonts w:cstheme="minorHAnsi"/>
          <w:sz w:val="24"/>
          <w:szCs w:val="24"/>
        </w:rPr>
        <w:t>1</w:t>
      </w:r>
      <w:r w:rsidR="000E451A" w:rsidRPr="00DF02E6">
        <w:rPr>
          <w:rFonts w:cstheme="minorHAnsi"/>
          <w:sz w:val="24"/>
          <w:szCs w:val="24"/>
        </w:rPr>
        <w:t>x nabíjecího modulu pro nabíjení z běžné sítě 230 V.</w:t>
      </w:r>
    </w:p>
    <w:p w14:paraId="54A0C437" w14:textId="6D0E4DA9" w:rsidR="00EF5257" w:rsidRPr="00EF5257" w:rsidRDefault="00EF5257" w:rsidP="00EF5257">
      <w:pPr>
        <w:rPr>
          <w:rFonts w:cstheme="minorHAnsi"/>
          <w:b/>
          <w:bCs/>
          <w:szCs w:val="24"/>
        </w:rPr>
      </w:pPr>
      <w:r w:rsidRPr="00EF5257">
        <w:rPr>
          <w:rFonts w:cstheme="minorHAnsi"/>
          <w:b/>
          <w:bCs/>
          <w:szCs w:val="24"/>
        </w:rPr>
        <w:t>Backoffice:</w:t>
      </w:r>
    </w:p>
    <w:p w14:paraId="456AB579" w14:textId="165E6834" w:rsidR="00EF5257" w:rsidRPr="00EF5257" w:rsidRDefault="00EF5257" w:rsidP="00EF5257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F5257">
        <w:rPr>
          <w:rFonts w:cstheme="minorHAnsi"/>
          <w:sz w:val="24"/>
          <w:szCs w:val="24"/>
        </w:rPr>
        <w:t>Kontrola</w:t>
      </w:r>
      <w:r w:rsidR="00375130">
        <w:rPr>
          <w:rFonts w:cstheme="minorHAnsi"/>
          <w:sz w:val="24"/>
          <w:szCs w:val="24"/>
        </w:rPr>
        <w:t>, nastavení</w:t>
      </w:r>
      <w:r w:rsidRPr="00EF5257">
        <w:rPr>
          <w:rFonts w:cstheme="minorHAnsi"/>
          <w:sz w:val="24"/>
          <w:szCs w:val="24"/>
        </w:rPr>
        <w:t xml:space="preserve"> a dohled na</w:t>
      </w:r>
      <w:r w:rsidR="00EB1454">
        <w:rPr>
          <w:rFonts w:cstheme="minorHAnsi"/>
          <w:sz w:val="24"/>
          <w:szCs w:val="24"/>
        </w:rPr>
        <w:t>d</w:t>
      </w:r>
      <w:r w:rsidRPr="00EF5257">
        <w:rPr>
          <w:rFonts w:cstheme="minorHAnsi"/>
          <w:sz w:val="24"/>
          <w:szCs w:val="24"/>
        </w:rPr>
        <w:t xml:space="preserve"> provozem jednotlivých SSZ.</w:t>
      </w:r>
    </w:p>
    <w:p w14:paraId="0CF613EE" w14:textId="77777777" w:rsidR="004328CC" w:rsidRDefault="004328CC" w:rsidP="004328CC">
      <w:pPr>
        <w:pStyle w:val="Odstavecseseznamem"/>
        <w:ind w:firstLine="0"/>
        <w:rPr>
          <w:rFonts w:cstheme="minorHAnsi"/>
          <w:sz w:val="24"/>
          <w:szCs w:val="24"/>
        </w:rPr>
      </w:pPr>
    </w:p>
    <w:p w14:paraId="3864390E" w14:textId="1C5F3CEC" w:rsidR="004328CC" w:rsidRPr="004328CC" w:rsidRDefault="004328CC" w:rsidP="004328CC">
      <w:pPr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SSZ</w:t>
      </w:r>
      <w:r w:rsidRPr="004328CC">
        <w:rPr>
          <w:rFonts w:cstheme="minorHAnsi"/>
          <w:b/>
          <w:bCs/>
          <w:szCs w:val="24"/>
        </w:rPr>
        <w:t xml:space="preserve"> musí splňovat následující platné normy</w:t>
      </w:r>
      <w:r>
        <w:rPr>
          <w:rFonts w:cstheme="minorHAnsi"/>
          <w:b/>
          <w:bCs/>
          <w:szCs w:val="24"/>
        </w:rPr>
        <w:t xml:space="preserve"> a zákony</w:t>
      </w:r>
      <w:r w:rsidRPr="004328CC">
        <w:rPr>
          <w:rFonts w:cstheme="minorHAnsi"/>
          <w:b/>
          <w:bCs/>
          <w:szCs w:val="24"/>
        </w:rPr>
        <w:t>:</w:t>
      </w:r>
    </w:p>
    <w:p w14:paraId="19E39DE6" w14:textId="77777777" w:rsidR="00422ACA" w:rsidRPr="00CD1A99" w:rsidRDefault="00422ACA" w:rsidP="00422ACA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D1A99">
        <w:rPr>
          <w:sz w:val="24"/>
          <w:szCs w:val="24"/>
        </w:rPr>
        <w:t>Zákon č. 361/2000 Sb., o provozu na pozemních komunikacích a o změnách některých zákonů</w:t>
      </w:r>
    </w:p>
    <w:p w14:paraId="52ECEB87" w14:textId="34BB5F6E" w:rsidR="00422ACA" w:rsidRPr="00CD1A99" w:rsidRDefault="00422ACA" w:rsidP="00422ACA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D1A99">
        <w:rPr>
          <w:sz w:val="24"/>
          <w:szCs w:val="24"/>
        </w:rPr>
        <w:t>Vyhláška č. 30/2001 Sb., kterou se provádějí pravidla provozu na pozemních komunikacích a úprava a řízení provozu na pozemních komunikacích, v platném znění.</w:t>
      </w:r>
    </w:p>
    <w:p w14:paraId="3CC21357" w14:textId="1348DBF3" w:rsidR="00422ACA" w:rsidRPr="00CD1A99" w:rsidRDefault="00422ACA" w:rsidP="00422ACA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D1A99">
        <w:rPr>
          <w:sz w:val="24"/>
          <w:szCs w:val="24"/>
        </w:rPr>
        <w:t>ČSN 73 6021 Světelná signalizační zařízení.</w:t>
      </w:r>
    </w:p>
    <w:p w14:paraId="720FE692" w14:textId="7C8DFE6D" w:rsidR="00422ACA" w:rsidRPr="00CD1A99" w:rsidRDefault="00422ACA" w:rsidP="00422ACA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D1A99">
        <w:rPr>
          <w:sz w:val="24"/>
          <w:szCs w:val="24"/>
        </w:rPr>
        <w:t>ČSN 365601-1 Světelná signalizační zařízení.</w:t>
      </w:r>
    </w:p>
    <w:p w14:paraId="71515AC5" w14:textId="4D4B5F9D" w:rsidR="00422ACA" w:rsidRPr="00CD1A99" w:rsidRDefault="00422ACA" w:rsidP="00422ACA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D1A99">
        <w:rPr>
          <w:sz w:val="24"/>
          <w:szCs w:val="24"/>
        </w:rPr>
        <w:t>ČSN EN 12675 Řízení dopravy na pozemních komunikacích – Řadiče světelných signalizačních zařízení – Funkčně bezpečnostní požadavky.</w:t>
      </w:r>
    </w:p>
    <w:p w14:paraId="7492F601" w14:textId="5F9FE200" w:rsidR="00422ACA" w:rsidRPr="00CD1A99" w:rsidRDefault="00422ACA" w:rsidP="00422ACA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D1A99">
        <w:rPr>
          <w:sz w:val="24"/>
          <w:szCs w:val="24"/>
        </w:rPr>
        <w:t xml:space="preserve">ČSN EN 12368 Řízení dopravy na pozemních komunikacích – Návěstidla. </w:t>
      </w:r>
    </w:p>
    <w:p w14:paraId="68147934" w14:textId="77777777" w:rsidR="000E451A" w:rsidRPr="00CD1A99" w:rsidRDefault="00422ACA" w:rsidP="000E451A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D1A99">
        <w:rPr>
          <w:sz w:val="24"/>
          <w:szCs w:val="24"/>
        </w:rPr>
        <w:t xml:space="preserve">ČSN EN 50 556 Systémy silniční dopravní signalizace. </w:t>
      </w:r>
    </w:p>
    <w:p w14:paraId="63B56408" w14:textId="77777777" w:rsidR="000E451A" w:rsidRPr="00CD1A99" w:rsidRDefault="00422ACA" w:rsidP="000E451A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D1A99">
        <w:rPr>
          <w:sz w:val="24"/>
          <w:szCs w:val="24"/>
        </w:rPr>
        <w:t xml:space="preserve">TP 81 Navrhování SSZ pro řízení silničního provozu. </w:t>
      </w:r>
    </w:p>
    <w:p w14:paraId="5509C7EC" w14:textId="00C01369" w:rsidR="00422ACA" w:rsidRPr="00CD1A99" w:rsidRDefault="00422ACA" w:rsidP="000E451A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D1A99">
        <w:rPr>
          <w:sz w:val="24"/>
          <w:szCs w:val="24"/>
        </w:rPr>
        <w:t>TP 66 Zásady pro označování pracovních míst na pozemních komunikacích.</w:t>
      </w:r>
    </w:p>
    <w:sectPr w:rsidR="00422ACA" w:rsidRPr="00CD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361CA"/>
    <w:multiLevelType w:val="hybridMultilevel"/>
    <w:tmpl w:val="A16657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667E26"/>
    <w:multiLevelType w:val="hybridMultilevel"/>
    <w:tmpl w:val="84C03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A2E08"/>
    <w:multiLevelType w:val="hybridMultilevel"/>
    <w:tmpl w:val="72E2B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742F"/>
    <w:multiLevelType w:val="hybridMultilevel"/>
    <w:tmpl w:val="E7AEABD0"/>
    <w:lvl w:ilvl="0" w:tplc="4B8EFE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8414A"/>
    <w:multiLevelType w:val="hybridMultilevel"/>
    <w:tmpl w:val="52505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412E"/>
    <w:multiLevelType w:val="hybridMultilevel"/>
    <w:tmpl w:val="778CA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B6556"/>
    <w:multiLevelType w:val="hybridMultilevel"/>
    <w:tmpl w:val="E04E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8114E"/>
    <w:multiLevelType w:val="hybridMultilevel"/>
    <w:tmpl w:val="F6920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E6E50"/>
    <w:multiLevelType w:val="hybridMultilevel"/>
    <w:tmpl w:val="7E946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437F5"/>
    <w:multiLevelType w:val="hybridMultilevel"/>
    <w:tmpl w:val="DA1E2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43170">
    <w:abstractNumId w:val="4"/>
  </w:num>
  <w:num w:numId="2" w16cid:durableId="1059326072">
    <w:abstractNumId w:val="0"/>
  </w:num>
  <w:num w:numId="3" w16cid:durableId="494683503">
    <w:abstractNumId w:val="9"/>
  </w:num>
  <w:num w:numId="4" w16cid:durableId="1658076139">
    <w:abstractNumId w:val="0"/>
  </w:num>
  <w:num w:numId="5" w16cid:durableId="1407193252">
    <w:abstractNumId w:val="5"/>
  </w:num>
  <w:num w:numId="6" w16cid:durableId="2035426066">
    <w:abstractNumId w:val="1"/>
  </w:num>
  <w:num w:numId="7" w16cid:durableId="463549130">
    <w:abstractNumId w:val="8"/>
  </w:num>
  <w:num w:numId="8" w16cid:durableId="647132975">
    <w:abstractNumId w:val="2"/>
  </w:num>
  <w:num w:numId="9" w16cid:durableId="1875725317">
    <w:abstractNumId w:val="3"/>
  </w:num>
  <w:num w:numId="10" w16cid:durableId="1901742507">
    <w:abstractNumId w:val="7"/>
  </w:num>
  <w:num w:numId="11" w16cid:durableId="849683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15"/>
    <w:rsid w:val="00010310"/>
    <w:rsid w:val="00010E6A"/>
    <w:rsid w:val="000E451A"/>
    <w:rsid w:val="001043E9"/>
    <w:rsid w:val="00185480"/>
    <w:rsid w:val="001C3E04"/>
    <w:rsid w:val="001D2965"/>
    <w:rsid w:val="00307533"/>
    <w:rsid w:val="00375130"/>
    <w:rsid w:val="003A401A"/>
    <w:rsid w:val="003E59DC"/>
    <w:rsid w:val="00415E8E"/>
    <w:rsid w:val="00422ACA"/>
    <w:rsid w:val="004328CC"/>
    <w:rsid w:val="00443BD9"/>
    <w:rsid w:val="00496760"/>
    <w:rsid w:val="004C18E4"/>
    <w:rsid w:val="005600CB"/>
    <w:rsid w:val="005B3C82"/>
    <w:rsid w:val="00647DAE"/>
    <w:rsid w:val="00685BD2"/>
    <w:rsid w:val="006E43B4"/>
    <w:rsid w:val="007C4206"/>
    <w:rsid w:val="0082790F"/>
    <w:rsid w:val="00851846"/>
    <w:rsid w:val="008A181E"/>
    <w:rsid w:val="00A451E9"/>
    <w:rsid w:val="00A61CD7"/>
    <w:rsid w:val="00B27ECE"/>
    <w:rsid w:val="00B56830"/>
    <w:rsid w:val="00C27C0F"/>
    <w:rsid w:val="00C321BB"/>
    <w:rsid w:val="00C575AE"/>
    <w:rsid w:val="00C57715"/>
    <w:rsid w:val="00CB38F9"/>
    <w:rsid w:val="00CD1A99"/>
    <w:rsid w:val="00CD638B"/>
    <w:rsid w:val="00D177F2"/>
    <w:rsid w:val="00D508F7"/>
    <w:rsid w:val="00D944A0"/>
    <w:rsid w:val="00DA41FE"/>
    <w:rsid w:val="00DE40A8"/>
    <w:rsid w:val="00DF02E6"/>
    <w:rsid w:val="00E37198"/>
    <w:rsid w:val="00E7218F"/>
    <w:rsid w:val="00E77A33"/>
    <w:rsid w:val="00E94776"/>
    <w:rsid w:val="00EB1454"/>
    <w:rsid w:val="00EC3864"/>
    <w:rsid w:val="00EC6C9E"/>
    <w:rsid w:val="00EF4E0B"/>
    <w:rsid w:val="00EF5257"/>
    <w:rsid w:val="00EF5268"/>
    <w:rsid w:val="00F130FA"/>
    <w:rsid w:val="00F63994"/>
    <w:rsid w:val="00F87FF8"/>
    <w:rsid w:val="00FB3158"/>
    <w:rsid w:val="00FE60BF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8DC8"/>
  <w15:chartTrackingRefBased/>
  <w15:docId w15:val="{35DC48CC-2910-4E8B-B107-35444725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533"/>
    <w:pPr>
      <w:suppressAutoHyphens/>
      <w:spacing w:before="120" w:after="120" w:line="240" w:lineRule="auto"/>
      <w:jc w:val="both"/>
    </w:pPr>
    <w:rPr>
      <w:rFonts w:eastAsia="Times New Roman" w:cs="Times New Roman"/>
      <w:kern w:val="0"/>
      <w:sz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57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aliases w:val="NADPIS"/>
    <w:basedOn w:val="Nadpis1"/>
    <w:next w:val="Normln"/>
    <w:link w:val="Nadpis5Char"/>
    <w:qFormat/>
    <w:rsid w:val="00C57715"/>
    <w:pPr>
      <w:keepLines w:val="0"/>
      <w:widowControl w:val="0"/>
      <w:autoSpaceDE w:val="0"/>
      <w:spacing w:before="360" w:after="120"/>
      <w:jc w:val="center"/>
      <w:outlineLvl w:val="4"/>
    </w:pPr>
    <w:rPr>
      <w:rFonts w:asciiTheme="minorHAnsi" w:eastAsia="Arial" w:hAnsiTheme="minorHAnsi" w:cs="Arial"/>
      <w:b/>
      <w:bCs/>
      <w:caps/>
      <w:color w:val="auto"/>
      <w:kern w:val="1"/>
      <w:lang w:val="zh-CN"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NADPIS Char"/>
    <w:basedOn w:val="Standardnpsmoodstavce"/>
    <w:link w:val="Nadpis5"/>
    <w:rsid w:val="00C57715"/>
    <w:rPr>
      <w:rFonts w:eastAsia="Arial" w:cs="Arial"/>
      <w:b/>
      <w:bCs/>
      <w:caps/>
      <w:kern w:val="1"/>
      <w:sz w:val="32"/>
      <w:szCs w:val="32"/>
      <w:lang w:val="zh-CN" w:eastAsia="ar-SA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C577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C57715"/>
    <w:rPr>
      <w:color w:val="0563C1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C57715"/>
    <w:rPr>
      <w:rFonts w:ascii="Calibri" w:hAnsi="Calibri" w:cs="Calibri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C57715"/>
    <w:pPr>
      <w:suppressAutoHyphens w:val="0"/>
      <w:spacing w:before="0" w:after="160" w:line="252" w:lineRule="auto"/>
      <w:ind w:left="720" w:firstLine="426"/>
      <w:contextualSpacing/>
    </w:pPr>
    <w:rPr>
      <w:rFonts w:ascii="Calibri" w:eastAsiaTheme="minorHAnsi" w:hAnsi="Calibri" w:cs="Calibri"/>
      <w:kern w:val="2"/>
      <w:sz w:val="22"/>
      <w:lang w:eastAsia="en-US"/>
      <w14:ligatures w14:val="standardContextual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043E9"/>
    <w:pPr>
      <w:suppressAutoHyphens w:val="0"/>
      <w:spacing w:before="0" w:after="0"/>
      <w:jc w:val="left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043E9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82790F"/>
    <w:pPr>
      <w:spacing w:after="0" w:line="240" w:lineRule="auto"/>
    </w:pPr>
    <w:rPr>
      <w:rFonts w:eastAsia="Times New Roman" w:cs="Times New Roman"/>
      <w:kern w:val="0"/>
      <w:sz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Dopita</dc:creator>
  <cp:keywords/>
  <dc:description/>
  <cp:lastModifiedBy>Michaela Lacinová</cp:lastModifiedBy>
  <cp:revision>7</cp:revision>
  <cp:lastPrinted>2024-04-03T06:36:00Z</cp:lastPrinted>
  <dcterms:created xsi:type="dcterms:W3CDTF">2025-06-02T12:37:00Z</dcterms:created>
  <dcterms:modified xsi:type="dcterms:W3CDTF">2025-06-04T14:01:00Z</dcterms:modified>
</cp:coreProperties>
</file>