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8029AD" w:rsidRPr="008029AD" w:rsidRDefault="00CE1D38" w:rsidP="008029AD">
      <w:pPr>
        <w:pStyle w:val="Zhlav"/>
        <w:rPr>
          <w:b/>
          <w:bCs/>
          <w:color w:val="000000"/>
          <w:sz w:val="22"/>
          <w:szCs w:val="22"/>
        </w:rPr>
      </w:pPr>
      <w:r w:rsidRPr="008029AD">
        <w:rPr>
          <w:sz w:val="22"/>
          <w:szCs w:val="22"/>
          <w:u w:val="single"/>
        </w:rPr>
        <w:t>Název výzvy:</w:t>
      </w:r>
      <w:r w:rsidRPr="008029AD">
        <w:rPr>
          <w:sz w:val="22"/>
          <w:szCs w:val="22"/>
        </w:rPr>
        <w:t xml:space="preserve"> </w:t>
      </w:r>
      <w:r w:rsidR="00AC7635" w:rsidRPr="008029AD">
        <w:rPr>
          <w:sz w:val="22"/>
          <w:szCs w:val="22"/>
        </w:rPr>
        <w:t xml:space="preserve"> </w:t>
      </w:r>
      <w:r w:rsidR="002269DE" w:rsidRPr="008029AD">
        <w:rPr>
          <w:b/>
          <w:bCs/>
          <w:sz w:val="22"/>
          <w:szCs w:val="22"/>
        </w:rPr>
        <w:t xml:space="preserve">Výzva č.  </w:t>
      </w:r>
      <w:r w:rsidR="008029AD" w:rsidRPr="008029AD">
        <w:rPr>
          <w:b/>
          <w:bCs/>
          <w:color w:val="000000"/>
          <w:sz w:val="22"/>
          <w:szCs w:val="22"/>
        </w:rPr>
        <w:t>02. DNS na dodávky posypové soli</w:t>
      </w:r>
      <w:r w:rsidR="008029AD">
        <w:rPr>
          <w:b/>
          <w:bCs/>
          <w:color w:val="000000"/>
          <w:sz w:val="22"/>
          <w:szCs w:val="22"/>
        </w:rPr>
        <w:t xml:space="preserve"> – letní předzásobení</w:t>
      </w:r>
      <w:bookmarkStart w:id="0" w:name="_GoBack"/>
      <w:bookmarkEnd w:id="0"/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8029AD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8029AD">
        <w:rPr>
          <w:sz w:val="22"/>
          <w:szCs w:val="22"/>
        </w:rPr>
        <w:t xml:space="preserve">Zakázka je zadávaná v rámci DNS s názvem „DYNAMICKÝ NÁKUPNÍ SYSTÉM </w:t>
      </w:r>
      <w:r w:rsidR="008029AD" w:rsidRPr="008029AD">
        <w:rPr>
          <w:sz w:val="22"/>
          <w:szCs w:val="22"/>
        </w:rPr>
        <w:t>NA DODÁVKY POSYPOVÉ SOLI</w:t>
      </w:r>
      <w:r w:rsidRPr="008029AD">
        <w:rPr>
          <w:sz w:val="22"/>
          <w:szCs w:val="22"/>
        </w:rPr>
        <w:t>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8029AD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8029AD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8029AD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8029AD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8029AD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8029AD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8029AD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8029AD"/>
    <w:rsid w:val="00AC7635"/>
    <w:rsid w:val="00B602D8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AC28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Valentová Gabriela</cp:lastModifiedBy>
  <cp:revision>13</cp:revision>
  <dcterms:created xsi:type="dcterms:W3CDTF">2019-05-23T07:34:00Z</dcterms:created>
  <dcterms:modified xsi:type="dcterms:W3CDTF">2025-05-27T06:33:00Z</dcterms:modified>
</cp:coreProperties>
</file>