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1A32E" w14:textId="2AE9C1AB" w:rsidR="00314C9B" w:rsidRDefault="00F836D3">
      <w:r>
        <w:t>Příloha 2 – Čestné prohlášení</w:t>
      </w:r>
    </w:p>
    <w:p w14:paraId="58597B12" w14:textId="77777777" w:rsidR="00F836D3" w:rsidRDefault="00F836D3" w:rsidP="00F836D3">
      <w:pPr>
        <w:jc w:val="center"/>
        <w:rPr>
          <w:b/>
          <w:color w:val="000000"/>
        </w:rPr>
      </w:pPr>
      <w:r>
        <w:rPr>
          <w:b/>
          <w:color w:val="000000"/>
        </w:rPr>
        <w:t>ČESTNÉ PROHLÁŠENÍ O SPLNĚNÍ ZÁKLADNÍ ZPŮSOBILOSTI</w:t>
      </w:r>
    </w:p>
    <w:p w14:paraId="7BD35633" w14:textId="77777777" w:rsidR="00F836D3" w:rsidRDefault="00F836D3" w:rsidP="00F836D3">
      <w:pPr>
        <w:jc w:val="center"/>
        <w:rPr>
          <w:b/>
          <w:color w:val="000000"/>
        </w:rPr>
      </w:pPr>
    </w:p>
    <w:p w14:paraId="759EDB9C" w14:textId="77777777" w:rsidR="00F836D3" w:rsidRDefault="00F836D3" w:rsidP="00F836D3">
      <w:pPr>
        <w:rPr>
          <w:color w:val="000000"/>
        </w:rPr>
      </w:pPr>
      <w:r>
        <w:rPr>
          <w:b/>
          <w:color w:val="000000"/>
        </w:rPr>
        <w:t xml:space="preserve">Dodavatel: </w:t>
      </w:r>
    </w:p>
    <w:p w14:paraId="6A5BDDE4" w14:textId="77777777" w:rsidR="00F836D3" w:rsidRDefault="00F836D3" w:rsidP="00F836D3">
      <w:pPr>
        <w:rPr>
          <w:color w:val="000000"/>
        </w:rPr>
      </w:pPr>
      <w:r>
        <w:rPr>
          <w:i/>
          <w:color w:val="000000"/>
        </w:rPr>
        <w:t xml:space="preserve">Název/obchodní firma/jméno a příjmení: </w:t>
      </w:r>
    </w:p>
    <w:p w14:paraId="615C5529" w14:textId="77777777" w:rsidR="00F836D3" w:rsidRDefault="00F836D3" w:rsidP="00F836D3">
      <w:pPr>
        <w:rPr>
          <w:color w:val="000000"/>
        </w:rPr>
      </w:pPr>
      <w:r>
        <w:rPr>
          <w:i/>
          <w:color w:val="000000"/>
        </w:rPr>
        <w:t xml:space="preserve">Zastoupený: </w:t>
      </w:r>
    </w:p>
    <w:p w14:paraId="2E3BDDDD" w14:textId="77777777" w:rsidR="00F836D3" w:rsidRDefault="00F836D3" w:rsidP="00F836D3">
      <w:pPr>
        <w:rPr>
          <w:color w:val="000000"/>
        </w:rPr>
      </w:pPr>
      <w:r>
        <w:rPr>
          <w:i/>
          <w:color w:val="000000"/>
        </w:rPr>
        <w:t xml:space="preserve">Sídlo: </w:t>
      </w:r>
    </w:p>
    <w:p w14:paraId="49BB2434" w14:textId="77777777" w:rsidR="00F836D3" w:rsidRDefault="00F836D3" w:rsidP="00F836D3">
      <w:pPr>
        <w:rPr>
          <w:color w:val="000000"/>
        </w:rPr>
      </w:pPr>
      <w:r>
        <w:rPr>
          <w:i/>
          <w:color w:val="000000"/>
        </w:rPr>
        <w:t xml:space="preserve">IČ: </w:t>
      </w:r>
    </w:p>
    <w:p w14:paraId="2B68AC38" w14:textId="77777777" w:rsidR="00F836D3" w:rsidRDefault="00F836D3" w:rsidP="00F836D3">
      <w:pPr>
        <w:rPr>
          <w:color w:val="000000"/>
        </w:rPr>
      </w:pPr>
      <w:r>
        <w:rPr>
          <w:i/>
          <w:color w:val="000000"/>
        </w:rPr>
        <w:t xml:space="preserve">DIČ: </w:t>
      </w:r>
    </w:p>
    <w:p w14:paraId="69A3A533" w14:textId="77777777" w:rsidR="00F836D3" w:rsidRDefault="00F836D3" w:rsidP="00F836D3">
      <w:pPr>
        <w:rPr>
          <w:b/>
          <w:color w:val="000000"/>
        </w:rPr>
      </w:pPr>
    </w:p>
    <w:p w14:paraId="460592F5" w14:textId="77777777" w:rsidR="00F836D3" w:rsidRDefault="00F836D3" w:rsidP="00F836D3">
      <w:pPr>
        <w:spacing w:after="120"/>
        <w:jc w:val="both"/>
        <w:rPr>
          <w:b/>
          <w:color w:val="000000"/>
        </w:rPr>
      </w:pPr>
      <w:r>
        <w:rPr>
          <w:b/>
          <w:color w:val="000000"/>
        </w:rPr>
        <w:t>tímto prohlašuje, že je dodavatelem, který:</w:t>
      </w:r>
    </w:p>
    <w:p w14:paraId="5EE39D64" w14:textId="77777777" w:rsidR="00F836D3" w:rsidRDefault="00F836D3" w:rsidP="00F836D3">
      <w:pPr>
        <w:numPr>
          <w:ilvl w:val="0"/>
          <w:numId w:val="1"/>
        </w:numPr>
        <w:pBdr>
          <w:top w:val="nil"/>
          <w:left w:val="nil"/>
          <w:bottom w:val="nil"/>
          <w:right w:val="nil"/>
          <w:between w:val="nil"/>
        </w:pBdr>
        <w:spacing w:after="200" w:line="276" w:lineRule="auto"/>
        <w:ind w:left="567" w:hanging="567"/>
        <w:jc w:val="both"/>
        <w:rPr>
          <w:color w:val="000000"/>
        </w:rPr>
      </w:pPr>
      <w:r>
        <w:rPr>
          <w:color w:val="000000"/>
        </w:rPr>
        <w:t>nebyl v zemi svého sídla v posledních 5 letech před zahájením zadávacího řízení pravomocně odsouzen pro trestný čin spáchaný ve prospěch organizované zločinecké skupiny nebo trestný čin účasti na organizované zločinecké skupině, trestný čin obchodování s lidmi, trestný čin podvodu, úvěrového podvodu, dotačního podvodu, podílnictví, podílnictví z nedbalosti, legalizace výnosů z trestné činnosti, legalizace výnosů z trestné činnosti z nedbalosti, trestný čin zneužití informace a postavení v obchodním styku, sjednání výhody při zadání veřejné zakázky, při veřejné soutěži a veřejné dražbě, pletichy při zadání veřejné zakázky a při veřejné soutěži, pletichy při veřejné dražbě, poškození finančních zájmů Evropské unie, trestný čin obecně nebezpečný, trestný čin proti České republice, cizímu státu a mezinárodní organizaci, trestný čin proti výkonu pravomoci orgánu veřejné moci a úřední osoby, trestný čin úřední osoby, úplatkářství, jiné rušení činnosti orgánu veřejné moci; nebo obdobný trestný čin podle právního řádu země sídla dodavatele, k zahlazeným odsouzením se nepřihlíží.</w:t>
      </w:r>
    </w:p>
    <w:p w14:paraId="5D19DDBE" w14:textId="77777777" w:rsidR="00F836D3" w:rsidRDefault="00F836D3" w:rsidP="00F836D3">
      <w:pPr>
        <w:pBdr>
          <w:top w:val="nil"/>
          <w:left w:val="nil"/>
          <w:bottom w:val="nil"/>
          <w:right w:val="nil"/>
          <w:between w:val="nil"/>
        </w:pBdr>
        <w:spacing w:before="120" w:after="200"/>
        <w:ind w:left="567"/>
        <w:jc w:val="both"/>
        <w:rPr>
          <w:color w:val="000000"/>
        </w:rPr>
      </w:pPr>
      <w:r>
        <w:rPr>
          <w:color w:val="000000"/>
        </w:rPr>
        <w:t>Je-li dodavatelem právnická osoba, musí tuto podmínku splňovat tato právnická osoba a zároveň každý člen statutárního orgánu. Je-li členem statutárního orgánu dodavatele právnická osoba, musí tuto podmínku splňovat tato právnická osoba, každý člen statutárního orgánu této právnické osoby a osoba zastupující tuto právnickou osobu v statutárním orgánu dodavatele. Účastní-li se veřejné zakázky pobočka závodu české právnické osoby, musí tuto podmínku splňovat vedle výše uvedených osob i vedoucí pobočky závodu.</w:t>
      </w:r>
    </w:p>
    <w:p w14:paraId="445CA8C0" w14:textId="77777777" w:rsidR="00F836D3" w:rsidRDefault="00F836D3" w:rsidP="00F836D3">
      <w:pPr>
        <w:pBdr>
          <w:top w:val="nil"/>
          <w:left w:val="nil"/>
          <w:bottom w:val="nil"/>
          <w:right w:val="nil"/>
          <w:between w:val="nil"/>
        </w:pBdr>
        <w:spacing w:before="120" w:after="200"/>
        <w:ind w:left="567"/>
        <w:jc w:val="both"/>
        <w:rPr>
          <w:color w:val="000000"/>
        </w:rPr>
      </w:pPr>
      <w:r>
        <w:rPr>
          <w:color w:val="000000"/>
        </w:rPr>
        <w:t>Účastní-li se veřejné zakázky pobočka závodu zahraniční právnické osoby, musí tuto podmínku splňovat tato právnická osoba a vedoucí pobočky závodu.</w:t>
      </w:r>
    </w:p>
    <w:p w14:paraId="31C2A8B7" w14:textId="77777777" w:rsidR="00F836D3" w:rsidRDefault="00F836D3" w:rsidP="00F836D3">
      <w:pPr>
        <w:numPr>
          <w:ilvl w:val="0"/>
          <w:numId w:val="1"/>
        </w:numPr>
        <w:pBdr>
          <w:top w:val="nil"/>
          <w:left w:val="nil"/>
          <w:bottom w:val="nil"/>
          <w:right w:val="nil"/>
          <w:between w:val="nil"/>
        </w:pBdr>
        <w:spacing w:before="120" w:after="200" w:line="240" w:lineRule="auto"/>
        <w:ind w:left="567" w:hanging="567"/>
        <w:jc w:val="both"/>
        <w:rPr>
          <w:color w:val="000000"/>
        </w:rPr>
      </w:pPr>
      <w:r>
        <w:rPr>
          <w:color w:val="000000"/>
        </w:rPr>
        <w:t>nemá v České republice nebo v zemi svého sídla splatný nedoplatek na pojistném nebo na penále na veřejné zdravotní pojištění,</w:t>
      </w:r>
    </w:p>
    <w:p w14:paraId="13CF3B97" w14:textId="77777777" w:rsidR="00F836D3" w:rsidRDefault="00F836D3" w:rsidP="00F836D3">
      <w:pPr>
        <w:numPr>
          <w:ilvl w:val="0"/>
          <w:numId w:val="1"/>
        </w:numPr>
        <w:pBdr>
          <w:top w:val="nil"/>
          <w:left w:val="nil"/>
          <w:bottom w:val="nil"/>
          <w:right w:val="nil"/>
          <w:between w:val="nil"/>
        </w:pBdr>
        <w:spacing w:before="120" w:after="200" w:line="240" w:lineRule="auto"/>
        <w:ind w:left="567" w:hanging="567"/>
        <w:jc w:val="both"/>
        <w:rPr>
          <w:color w:val="000000"/>
        </w:rPr>
      </w:pPr>
      <w:r>
        <w:rPr>
          <w:color w:val="000000"/>
        </w:rPr>
        <w:t>nemá v České republice nebo v zemi svého sídla splatný nedoplatek na pojistném nebo na penále na sociální zabezpečení a příspěvku na státní politiku zaměstnanosti,</w:t>
      </w:r>
    </w:p>
    <w:p w14:paraId="102DD1CC" w14:textId="77777777" w:rsidR="00F836D3" w:rsidRDefault="00F836D3" w:rsidP="00F836D3">
      <w:pPr>
        <w:numPr>
          <w:ilvl w:val="0"/>
          <w:numId w:val="1"/>
        </w:numPr>
        <w:pBdr>
          <w:top w:val="nil"/>
          <w:left w:val="nil"/>
          <w:bottom w:val="nil"/>
          <w:right w:val="nil"/>
          <w:between w:val="nil"/>
        </w:pBdr>
        <w:spacing w:before="120" w:after="120" w:line="240" w:lineRule="auto"/>
        <w:ind w:left="567" w:hanging="567"/>
        <w:jc w:val="both"/>
        <w:rPr>
          <w:color w:val="000000"/>
        </w:rPr>
      </w:pPr>
      <w:r>
        <w:rPr>
          <w:color w:val="000000"/>
        </w:rPr>
        <w:t>není v likvidaci, nebylo proti němu vydáno rozhodnutí o úpadku, nebyla vůči němu nařízena nucená správa podle jiného právního předpisu nebo v obdobné situaci podle právního řádu země sídla dodavatele.</w:t>
      </w:r>
    </w:p>
    <w:p w14:paraId="48D62C97" w14:textId="77777777" w:rsidR="00F836D3" w:rsidRDefault="00F836D3" w:rsidP="00F836D3">
      <w:pPr>
        <w:spacing w:before="120" w:after="120"/>
        <w:jc w:val="both"/>
      </w:pPr>
    </w:p>
    <w:p w14:paraId="5B798082" w14:textId="77777777" w:rsidR="00F836D3" w:rsidRDefault="00F836D3" w:rsidP="00F836D3">
      <w:pPr>
        <w:spacing w:before="120" w:after="120"/>
        <w:ind w:left="567"/>
        <w:jc w:val="center"/>
        <w:rPr>
          <w:b/>
        </w:rPr>
      </w:pPr>
      <w:r>
        <w:rPr>
          <w:b/>
        </w:rPr>
        <w:t>ČESTNÉ PROHLÁŠENÍ O NEEXISTENCI STŘETU ZÁJMŮ</w:t>
      </w:r>
    </w:p>
    <w:p w14:paraId="5F43EB65" w14:textId="77777777" w:rsidR="00F836D3" w:rsidRDefault="00F836D3" w:rsidP="00F836D3">
      <w:pPr>
        <w:widowControl w:val="0"/>
        <w:spacing w:before="240" w:after="240"/>
        <w:ind w:left="360"/>
        <w:jc w:val="both"/>
        <w:rPr>
          <w:color w:val="000000"/>
        </w:rPr>
      </w:pPr>
      <w:r>
        <w:rPr>
          <w:color w:val="000000"/>
        </w:rPr>
        <w:t xml:space="preserve">Účastník tímto prohlašuje, že není obchodní společností dle § 4b* zákona č. 159/2006 Sb., o střetu zájmů, ve znění pozdějších předpisů (dále jen „zákon o střetu zájmů“). </w:t>
      </w:r>
    </w:p>
    <w:p w14:paraId="4BAA584F" w14:textId="77777777" w:rsidR="00F836D3" w:rsidRDefault="00F836D3" w:rsidP="00F836D3">
      <w:pPr>
        <w:widowControl w:val="0"/>
        <w:spacing w:before="240" w:after="240"/>
        <w:ind w:left="360"/>
        <w:jc w:val="both"/>
        <w:rPr>
          <w:color w:val="000000"/>
        </w:rPr>
      </w:pPr>
      <w:r>
        <w:rPr>
          <w:color w:val="000000"/>
        </w:rPr>
        <w:t>Účastník tímto prohlašuje, že neprokazuje kvalifikaci prostřednictvím poddodavatelem, který je obchodní společností dle § 4b* zákona o střetu zájmů.</w:t>
      </w:r>
    </w:p>
    <w:p w14:paraId="610AA7A3" w14:textId="77777777" w:rsidR="00F836D3" w:rsidRDefault="00F836D3" w:rsidP="00F836D3">
      <w:pPr>
        <w:widowControl w:val="0"/>
        <w:spacing w:before="240" w:after="240"/>
        <w:ind w:left="360"/>
        <w:jc w:val="both"/>
        <w:rPr>
          <w:color w:val="000000"/>
        </w:rPr>
      </w:pPr>
      <w:r>
        <w:rPr>
          <w:i/>
          <w:color w:val="00000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Pr>
          <w:color w:val="000000"/>
        </w:rPr>
        <w:t>.“</w:t>
      </w:r>
    </w:p>
    <w:p w14:paraId="70CE095B" w14:textId="77777777" w:rsidR="00F836D3" w:rsidRDefault="00F836D3" w:rsidP="00F836D3">
      <w:pPr>
        <w:widowControl w:val="0"/>
        <w:spacing w:before="240" w:after="240"/>
        <w:ind w:left="426" w:hanging="426"/>
        <w:jc w:val="both"/>
        <w:rPr>
          <w:rFonts w:ascii="Calibri" w:eastAsia="Calibri" w:hAnsi="Calibri" w:cs="Calibri"/>
          <w:color w:val="000000"/>
        </w:rPr>
      </w:pPr>
    </w:p>
    <w:p w14:paraId="2B49CC8A" w14:textId="77777777" w:rsidR="00F836D3" w:rsidRDefault="00F836D3" w:rsidP="00F836D3">
      <w:pPr>
        <w:widowControl w:val="0"/>
        <w:spacing w:before="240" w:after="240"/>
        <w:ind w:left="426" w:hanging="426"/>
        <w:jc w:val="center"/>
        <w:rPr>
          <w:b/>
          <w:color w:val="000000"/>
        </w:rPr>
      </w:pPr>
      <w:r>
        <w:rPr>
          <w:b/>
          <w:color w:val="000000"/>
        </w:rPr>
        <w:t>ČESTNÉ PROHLÁŠENÍ O SPLNĚNÍ PODMÍNEK NAŘÍZENÍ RADY (EU) 2022/576 ZE DNE 8. DUBNA 2022, KTERÝM SE MĚNÍ NAŘÍZENÍ (EU) Č. 833/2014 O OMEZUJÍCÍCH OPATŘENÍCH VZHLEDEM K ČINNOSTEM RUSKA DESTABILIZUJÍCÍM SITUACI NA UKRAJINĚ</w:t>
      </w:r>
    </w:p>
    <w:p w14:paraId="493893F0" w14:textId="77777777" w:rsidR="00F836D3" w:rsidRDefault="00F836D3" w:rsidP="00F836D3">
      <w:pPr>
        <w:widowControl w:val="0"/>
        <w:spacing w:before="240" w:after="240"/>
        <w:ind w:left="426" w:hanging="1"/>
        <w:jc w:val="both"/>
        <w:rPr>
          <w:color w:val="000000"/>
        </w:rPr>
      </w:pPr>
      <w:r>
        <w:rPr>
          <w:color w:val="000000"/>
        </w:rPr>
        <w:t>Účastník tímto v návaznosti na Nařízení Rady (EU) 2022/576 ze dne 8. dubna 2022, kterým se mění nařízení (EU) č. 833/2014 o omezujících opatřeních vzhledem k činnostem Ruska destabilizujícím situaci na Ukrajině, prohlašuje, že:</w:t>
      </w:r>
    </w:p>
    <w:p w14:paraId="1A9034CF" w14:textId="77777777" w:rsidR="00F836D3" w:rsidRDefault="00F836D3" w:rsidP="00F836D3">
      <w:pPr>
        <w:widowControl w:val="0"/>
        <w:numPr>
          <w:ilvl w:val="0"/>
          <w:numId w:val="2"/>
        </w:numPr>
        <w:pBdr>
          <w:top w:val="nil"/>
          <w:left w:val="nil"/>
          <w:bottom w:val="nil"/>
          <w:right w:val="nil"/>
          <w:between w:val="nil"/>
        </w:pBdr>
        <w:spacing w:after="120" w:line="240" w:lineRule="auto"/>
        <w:ind w:left="425" w:firstLine="1"/>
        <w:jc w:val="both"/>
        <w:rPr>
          <w:color w:val="000000"/>
        </w:rPr>
      </w:pPr>
      <w:r>
        <w:rPr>
          <w:color w:val="000000"/>
        </w:rPr>
        <w:t>není ruským státním příslušníkem, fyzickou či právnickou osobou nebo subjektem či orgánem se sídlem v Rusku,</w:t>
      </w:r>
    </w:p>
    <w:p w14:paraId="29469BC7" w14:textId="77777777" w:rsidR="00F836D3" w:rsidRDefault="00F836D3" w:rsidP="00F836D3">
      <w:pPr>
        <w:widowControl w:val="0"/>
        <w:spacing w:after="120"/>
        <w:ind w:left="426"/>
        <w:jc w:val="both"/>
        <w:rPr>
          <w:color w:val="000000"/>
        </w:rPr>
      </w:pPr>
      <w:r>
        <w:rPr>
          <w:color w:val="000000"/>
        </w:rPr>
        <w:t>b) není právnickou osobou, subjektem nebo orgánem, který je z více než 50 % přímo či nepřímo vlastněn některým ze subjektů uvedených v písmeni a),</w:t>
      </w:r>
    </w:p>
    <w:p w14:paraId="14D2EC13" w14:textId="77777777" w:rsidR="00F836D3" w:rsidRDefault="00F836D3" w:rsidP="00F836D3">
      <w:pPr>
        <w:widowControl w:val="0"/>
        <w:spacing w:after="120"/>
        <w:ind w:left="426"/>
        <w:jc w:val="both"/>
        <w:rPr>
          <w:color w:val="000000"/>
        </w:rPr>
      </w:pPr>
      <w:r>
        <w:rPr>
          <w:color w:val="000000"/>
        </w:rPr>
        <w:t>c) není fyzickou nebo právnickou osobou, subjektem nebo orgánem, který jedná jménem nebo na pokyn některého ze subjektů uvedených v písmeni a) nebo b).</w:t>
      </w:r>
    </w:p>
    <w:p w14:paraId="7AB75304" w14:textId="77777777" w:rsidR="00F836D3" w:rsidRDefault="00F836D3" w:rsidP="00F836D3">
      <w:pPr>
        <w:widowControl w:val="0"/>
        <w:spacing w:after="120" w:line="276" w:lineRule="auto"/>
        <w:ind w:left="426"/>
        <w:jc w:val="both"/>
        <w:rPr>
          <w:color w:val="000000"/>
        </w:rPr>
      </w:pPr>
      <w:r>
        <w:rPr>
          <w:color w:val="000000"/>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65F8B08B" w14:textId="77777777" w:rsidR="00F836D3" w:rsidRDefault="00F836D3" w:rsidP="00F836D3">
      <w:pPr>
        <w:pBdr>
          <w:top w:val="nil"/>
          <w:left w:val="nil"/>
          <w:bottom w:val="nil"/>
          <w:right w:val="nil"/>
          <w:between w:val="nil"/>
        </w:pBdr>
        <w:spacing w:after="200" w:line="276" w:lineRule="auto"/>
        <w:ind w:left="360"/>
        <w:jc w:val="both"/>
        <w:rPr>
          <w:color w:val="000000"/>
        </w:rPr>
      </w:pPr>
    </w:p>
    <w:p w14:paraId="0DD84F99" w14:textId="30B82208" w:rsidR="00F836D3" w:rsidRDefault="00F836D3" w:rsidP="00F836D3">
      <w:pPr>
        <w:spacing w:before="120" w:after="120"/>
        <w:jc w:val="both"/>
      </w:pPr>
      <w:r>
        <w:br/>
      </w:r>
      <w:r>
        <w:t>Toto čestné prohlášení podepisuje za shora uvedeného dodavatele:</w:t>
      </w:r>
    </w:p>
    <w:p w14:paraId="3E725F86" w14:textId="019DE825" w:rsidR="00F836D3" w:rsidRDefault="00F836D3" w:rsidP="00F836D3">
      <w:pPr>
        <w:spacing w:before="120" w:after="120"/>
        <w:jc w:val="both"/>
      </w:pPr>
      <w:r>
        <w:br/>
      </w:r>
      <w:r>
        <w:br/>
      </w:r>
      <w:r>
        <w:br/>
      </w:r>
      <w:r>
        <w:t xml:space="preserve">……………………………………………….…… </w:t>
      </w:r>
    </w:p>
    <w:p w14:paraId="4CE3C06A" w14:textId="77777777" w:rsidR="00F836D3" w:rsidRDefault="00F836D3"/>
    <w:sectPr w:rsidR="00F836D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242DB"/>
    <w:multiLevelType w:val="multilevel"/>
    <w:tmpl w:val="2376E32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8AA3D5C"/>
    <w:multiLevelType w:val="multilevel"/>
    <w:tmpl w:val="8432D63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32874964">
    <w:abstractNumId w:val="0"/>
  </w:num>
  <w:num w:numId="2" w16cid:durableId="158892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2E5"/>
    <w:rsid w:val="0001109C"/>
    <w:rsid w:val="0001398D"/>
    <w:rsid w:val="00014868"/>
    <w:rsid w:val="00060960"/>
    <w:rsid w:val="00083E00"/>
    <w:rsid w:val="00092931"/>
    <w:rsid w:val="000A146F"/>
    <w:rsid w:val="000A1B85"/>
    <w:rsid w:val="000C24EF"/>
    <w:rsid w:val="000C75F7"/>
    <w:rsid w:val="00100C5C"/>
    <w:rsid w:val="00102D1D"/>
    <w:rsid w:val="00121DC4"/>
    <w:rsid w:val="00142B13"/>
    <w:rsid w:val="00170A44"/>
    <w:rsid w:val="001B5EB4"/>
    <w:rsid w:val="001B7449"/>
    <w:rsid w:val="001D1793"/>
    <w:rsid w:val="001E6901"/>
    <w:rsid w:val="001F7020"/>
    <w:rsid w:val="00211F8C"/>
    <w:rsid w:val="002328D9"/>
    <w:rsid w:val="002416B4"/>
    <w:rsid w:val="00257CEA"/>
    <w:rsid w:val="0027063A"/>
    <w:rsid w:val="002778B0"/>
    <w:rsid w:val="00280BB8"/>
    <w:rsid w:val="002941BF"/>
    <w:rsid w:val="002B2467"/>
    <w:rsid w:val="002B5EF0"/>
    <w:rsid w:val="002D32DC"/>
    <w:rsid w:val="002D58FB"/>
    <w:rsid w:val="002E0690"/>
    <w:rsid w:val="002F3F7B"/>
    <w:rsid w:val="003046CC"/>
    <w:rsid w:val="00314C9B"/>
    <w:rsid w:val="003369C1"/>
    <w:rsid w:val="0033731E"/>
    <w:rsid w:val="003732DB"/>
    <w:rsid w:val="00384364"/>
    <w:rsid w:val="003979AE"/>
    <w:rsid w:val="003B6069"/>
    <w:rsid w:val="003D261A"/>
    <w:rsid w:val="003E559F"/>
    <w:rsid w:val="004032D1"/>
    <w:rsid w:val="00413719"/>
    <w:rsid w:val="00465F0D"/>
    <w:rsid w:val="00495518"/>
    <w:rsid w:val="00497A3D"/>
    <w:rsid w:val="004A2D20"/>
    <w:rsid w:val="004B4C2C"/>
    <w:rsid w:val="004C1A82"/>
    <w:rsid w:val="004E141E"/>
    <w:rsid w:val="004E75BA"/>
    <w:rsid w:val="004F69AB"/>
    <w:rsid w:val="00504434"/>
    <w:rsid w:val="005106D3"/>
    <w:rsid w:val="0051124B"/>
    <w:rsid w:val="005141BF"/>
    <w:rsid w:val="00514B76"/>
    <w:rsid w:val="00533989"/>
    <w:rsid w:val="005662B4"/>
    <w:rsid w:val="0056668C"/>
    <w:rsid w:val="0056722A"/>
    <w:rsid w:val="005B2097"/>
    <w:rsid w:val="005B2FC2"/>
    <w:rsid w:val="005B7455"/>
    <w:rsid w:val="005D124C"/>
    <w:rsid w:val="005F2B92"/>
    <w:rsid w:val="00610E5C"/>
    <w:rsid w:val="00620F75"/>
    <w:rsid w:val="00622AFC"/>
    <w:rsid w:val="00647049"/>
    <w:rsid w:val="006507D1"/>
    <w:rsid w:val="006641BF"/>
    <w:rsid w:val="00664EBF"/>
    <w:rsid w:val="0066577A"/>
    <w:rsid w:val="006925DA"/>
    <w:rsid w:val="00695842"/>
    <w:rsid w:val="006F357D"/>
    <w:rsid w:val="00701F1F"/>
    <w:rsid w:val="00722B02"/>
    <w:rsid w:val="00754A84"/>
    <w:rsid w:val="00761DC6"/>
    <w:rsid w:val="00782FE9"/>
    <w:rsid w:val="00796868"/>
    <w:rsid w:val="007A0E28"/>
    <w:rsid w:val="007A433A"/>
    <w:rsid w:val="007A70EF"/>
    <w:rsid w:val="007B0D05"/>
    <w:rsid w:val="007B5E4D"/>
    <w:rsid w:val="007B6F55"/>
    <w:rsid w:val="007C4382"/>
    <w:rsid w:val="007D34D1"/>
    <w:rsid w:val="007E6B55"/>
    <w:rsid w:val="008176BD"/>
    <w:rsid w:val="0083729F"/>
    <w:rsid w:val="00837839"/>
    <w:rsid w:val="0084174A"/>
    <w:rsid w:val="0084330F"/>
    <w:rsid w:val="00850B9E"/>
    <w:rsid w:val="00852C7A"/>
    <w:rsid w:val="00864617"/>
    <w:rsid w:val="0088587B"/>
    <w:rsid w:val="008B6F7A"/>
    <w:rsid w:val="008C259F"/>
    <w:rsid w:val="008C6560"/>
    <w:rsid w:val="008C6F64"/>
    <w:rsid w:val="008E4A3D"/>
    <w:rsid w:val="00901F39"/>
    <w:rsid w:val="00903E24"/>
    <w:rsid w:val="00920D96"/>
    <w:rsid w:val="00923FDE"/>
    <w:rsid w:val="00927EE7"/>
    <w:rsid w:val="009456A8"/>
    <w:rsid w:val="009B0BD7"/>
    <w:rsid w:val="009D7EC9"/>
    <w:rsid w:val="00A31DE7"/>
    <w:rsid w:val="00A8779E"/>
    <w:rsid w:val="00A93CCB"/>
    <w:rsid w:val="00A95A09"/>
    <w:rsid w:val="00AC62E5"/>
    <w:rsid w:val="00AC7F23"/>
    <w:rsid w:val="00AF6D9A"/>
    <w:rsid w:val="00AF763A"/>
    <w:rsid w:val="00B166BD"/>
    <w:rsid w:val="00B24D1F"/>
    <w:rsid w:val="00B30AF1"/>
    <w:rsid w:val="00B34C12"/>
    <w:rsid w:val="00B5640F"/>
    <w:rsid w:val="00B570FC"/>
    <w:rsid w:val="00B7514B"/>
    <w:rsid w:val="00B94A29"/>
    <w:rsid w:val="00BA3F98"/>
    <w:rsid w:val="00BB52FD"/>
    <w:rsid w:val="00BB59AE"/>
    <w:rsid w:val="00BF396C"/>
    <w:rsid w:val="00C21D58"/>
    <w:rsid w:val="00C42C71"/>
    <w:rsid w:val="00C65911"/>
    <w:rsid w:val="00C76910"/>
    <w:rsid w:val="00C81199"/>
    <w:rsid w:val="00C90C61"/>
    <w:rsid w:val="00CA7403"/>
    <w:rsid w:val="00CC6970"/>
    <w:rsid w:val="00CE2237"/>
    <w:rsid w:val="00D5753F"/>
    <w:rsid w:val="00D62F8C"/>
    <w:rsid w:val="00D6334D"/>
    <w:rsid w:val="00D77240"/>
    <w:rsid w:val="00D85CDB"/>
    <w:rsid w:val="00D921B0"/>
    <w:rsid w:val="00D95981"/>
    <w:rsid w:val="00D979BC"/>
    <w:rsid w:val="00DD3D47"/>
    <w:rsid w:val="00DE5017"/>
    <w:rsid w:val="00E14802"/>
    <w:rsid w:val="00E21F84"/>
    <w:rsid w:val="00E368F1"/>
    <w:rsid w:val="00E54E1F"/>
    <w:rsid w:val="00E65304"/>
    <w:rsid w:val="00E66190"/>
    <w:rsid w:val="00E7213A"/>
    <w:rsid w:val="00E82079"/>
    <w:rsid w:val="00E84080"/>
    <w:rsid w:val="00E84868"/>
    <w:rsid w:val="00EB44D8"/>
    <w:rsid w:val="00EF3899"/>
    <w:rsid w:val="00F0408D"/>
    <w:rsid w:val="00F114D1"/>
    <w:rsid w:val="00F26519"/>
    <w:rsid w:val="00F450F3"/>
    <w:rsid w:val="00F455A6"/>
    <w:rsid w:val="00F529FA"/>
    <w:rsid w:val="00F836D3"/>
    <w:rsid w:val="00F949CC"/>
    <w:rsid w:val="00FB700D"/>
    <w:rsid w:val="00FD3E0D"/>
    <w:rsid w:val="00FD7120"/>
    <w:rsid w:val="00FE035C"/>
    <w:rsid w:val="00FE7F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03B32"/>
  <w15:chartTrackingRefBased/>
  <w15:docId w15:val="{E16BE448-B4D8-43A1-B544-824CEFC1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C62E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AC62E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AC62E5"/>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AC62E5"/>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AC62E5"/>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AC62E5"/>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C62E5"/>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C62E5"/>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C62E5"/>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C62E5"/>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AC62E5"/>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AC62E5"/>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AC62E5"/>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AC62E5"/>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AC62E5"/>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C62E5"/>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C62E5"/>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C62E5"/>
    <w:rPr>
      <w:rFonts w:eastAsiaTheme="majorEastAsia" w:cstheme="majorBidi"/>
      <w:color w:val="272727" w:themeColor="text1" w:themeTint="D8"/>
    </w:rPr>
  </w:style>
  <w:style w:type="paragraph" w:styleId="Nzev">
    <w:name w:val="Title"/>
    <w:basedOn w:val="Normln"/>
    <w:next w:val="Normln"/>
    <w:link w:val="NzevChar"/>
    <w:uiPriority w:val="10"/>
    <w:qFormat/>
    <w:rsid w:val="00AC62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C62E5"/>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C62E5"/>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C62E5"/>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C62E5"/>
    <w:pPr>
      <w:spacing w:before="160"/>
      <w:jc w:val="center"/>
    </w:pPr>
    <w:rPr>
      <w:i/>
      <w:iCs/>
      <w:color w:val="404040" w:themeColor="text1" w:themeTint="BF"/>
    </w:rPr>
  </w:style>
  <w:style w:type="character" w:customStyle="1" w:styleId="CittChar">
    <w:name w:val="Citát Char"/>
    <w:basedOn w:val="Standardnpsmoodstavce"/>
    <w:link w:val="Citt"/>
    <w:uiPriority w:val="29"/>
    <w:rsid w:val="00AC62E5"/>
    <w:rPr>
      <w:i/>
      <w:iCs/>
      <w:color w:val="404040" w:themeColor="text1" w:themeTint="BF"/>
    </w:rPr>
  </w:style>
  <w:style w:type="paragraph" w:styleId="Odstavecseseznamem">
    <w:name w:val="List Paragraph"/>
    <w:basedOn w:val="Normln"/>
    <w:uiPriority w:val="34"/>
    <w:qFormat/>
    <w:rsid w:val="00AC62E5"/>
    <w:pPr>
      <w:ind w:left="720"/>
      <w:contextualSpacing/>
    </w:pPr>
  </w:style>
  <w:style w:type="character" w:styleId="Zdraznnintenzivn">
    <w:name w:val="Intense Emphasis"/>
    <w:basedOn w:val="Standardnpsmoodstavce"/>
    <w:uiPriority w:val="21"/>
    <w:qFormat/>
    <w:rsid w:val="00AC62E5"/>
    <w:rPr>
      <w:i/>
      <w:iCs/>
      <w:color w:val="2E74B5" w:themeColor="accent1" w:themeShade="BF"/>
    </w:rPr>
  </w:style>
  <w:style w:type="paragraph" w:styleId="Vrazncitt">
    <w:name w:val="Intense Quote"/>
    <w:basedOn w:val="Normln"/>
    <w:next w:val="Normln"/>
    <w:link w:val="VrazncittChar"/>
    <w:uiPriority w:val="30"/>
    <w:qFormat/>
    <w:rsid w:val="00AC62E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AC62E5"/>
    <w:rPr>
      <w:i/>
      <w:iCs/>
      <w:color w:val="2E74B5" w:themeColor="accent1" w:themeShade="BF"/>
    </w:rPr>
  </w:style>
  <w:style w:type="character" w:styleId="Odkazintenzivn">
    <w:name w:val="Intense Reference"/>
    <w:basedOn w:val="Standardnpsmoodstavce"/>
    <w:uiPriority w:val="32"/>
    <w:qFormat/>
    <w:rsid w:val="00AC62E5"/>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674</Words>
  <Characters>3978</Characters>
  <Application>Microsoft Office Word</Application>
  <DocSecurity>0</DocSecurity>
  <Lines>33</Lines>
  <Paragraphs>9</Paragraphs>
  <ScaleCrop>false</ScaleCrop>
  <Company>Krajský úřad Kraje Vysočina</Company>
  <LinksUpToDate>false</LinksUpToDate>
  <CharactersWithSpaces>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nb16001@vidasc.cz</dc:creator>
  <cp:keywords/>
  <dc:description/>
  <cp:lastModifiedBy>nb16001@vidasc.cz</cp:lastModifiedBy>
  <cp:revision>2</cp:revision>
  <dcterms:created xsi:type="dcterms:W3CDTF">2025-07-01T13:15:00Z</dcterms:created>
  <dcterms:modified xsi:type="dcterms:W3CDTF">2025-07-01T13:17:00Z</dcterms:modified>
</cp:coreProperties>
</file>