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510EA" w:rsidRDefault="00D83E0D">
      <w:pPr>
        <w:pStyle w:val="Nadpis1"/>
        <w:jc w:val="both"/>
      </w:pPr>
      <w:r>
        <w:t>1. Předmět veřejné zakázky</w:t>
      </w:r>
    </w:p>
    <w:p w14:paraId="00000002" w14:textId="77777777" w:rsidR="004510EA" w:rsidRDefault="00D83E0D">
      <w:pPr>
        <w:pStyle w:val="Nadpis2"/>
        <w:jc w:val="both"/>
      </w:pPr>
      <w:r>
        <w:t>1.1. Stručný popis telemedicínského systému</w:t>
      </w:r>
    </w:p>
    <w:p w14:paraId="00000003" w14:textId="1F066F1E" w:rsidR="004510EA" w:rsidRDefault="00D83E0D">
      <w:pPr>
        <w:jc w:val="both"/>
        <w:rPr>
          <w:b/>
        </w:rPr>
      </w:pPr>
      <w:r>
        <w:t xml:space="preserve">Cílem telemedicínského systému je zlepšit kvalitu zdravotní péče v pobytových sociálních službách poskytovaných Sociálními službami Šebetov. Systém umožní efektivnější sledování zdravotního stavu klientů, včasnou diagnostiku a rychlou reakci na změny jejich zdravotního stavu, která umožní snížení potřeby hospitalizační péče a také sníží potřeby využití </w:t>
      </w:r>
      <w:proofErr w:type="spellStart"/>
      <w:proofErr w:type="gramStart"/>
      <w:r>
        <w:t>ZZS</w:t>
      </w:r>
      <w:proofErr w:type="spellEnd"/>
      <w:r>
        <w:t xml:space="preserve">  Klíčovým</w:t>
      </w:r>
      <w:proofErr w:type="gramEnd"/>
      <w:r>
        <w:t xml:space="preserve"> požadavkem je snadná integrace se stávajícími procesy péče a nemocničním informačním systémem </w:t>
      </w:r>
      <w:proofErr w:type="spellStart"/>
      <w:r>
        <w:t>Cygnus</w:t>
      </w:r>
      <w:proofErr w:type="spellEnd"/>
      <w:r w:rsidR="009755CC">
        <w:t xml:space="preserve"> 2</w:t>
      </w:r>
      <w:r>
        <w:t xml:space="preserve">, což zajistí plynulé sdílení dat mezi zdravotnickým a sociálním personálem. Telemedicínská platforma bude umožňovat oboustrannou komunikaci mezi systémem </w:t>
      </w:r>
      <w:proofErr w:type="spellStart"/>
      <w:r>
        <w:t>Cygnus</w:t>
      </w:r>
      <w:proofErr w:type="spellEnd"/>
      <w:r w:rsidR="009755CC">
        <w:t xml:space="preserve"> 2</w:t>
      </w:r>
      <w:r>
        <w:t xml:space="preserve">, aby došlo ke snížení administrativní zátěže ošetřovatelského personálu. Bude možný zápis naměřených hodnot do systému </w:t>
      </w:r>
      <w:proofErr w:type="spellStart"/>
      <w:r>
        <w:t>Cygnus</w:t>
      </w:r>
      <w:proofErr w:type="spellEnd"/>
      <w:r w:rsidR="009755CC">
        <w:t xml:space="preserve"> 2</w:t>
      </w:r>
      <w:r>
        <w:t>. Z hlediska zaměření lze součásti dodaného systému rozdělit na:</w:t>
      </w:r>
    </w:p>
    <w:p w14:paraId="00000004" w14:textId="77777777" w:rsidR="004510EA" w:rsidRDefault="00D83E0D">
      <w:pPr>
        <w:jc w:val="both"/>
        <w:rPr>
          <w:b/>
        </w:rPr>
      </w:pPr>
      <w:r>
        <w:rPr>
          <w:b/>
        </w:rPr>
        <w:t>Telemedicínská platforma</w:t>
      </w:r>
    </w:p>
    <w:p w14:paraId="00000005" w14:textId="77777777" w:rsidR="004510EA" w:rsidRDefault="00D83E0D">
      <w:pPr>
        <w:jc w:val="both"/>
      </w:pPr>
      <w:r>
        <w:t>Požadujeme Telemedicínskou platformu, která slouží pro telemetrický sběr zdravotních dat klientů, jejich prezentaci v čase pro potřeby ošetřovatelského i lékařského personálu, a také propojuje všechna požadovaná zařízení pomocí konektorů do jednoho telemedicínského systému.</w:t>
      </w:r>
    </w:p>
    <w:p w14:paraId="00000006" w14:textId="77777777" w:rsidR="004510EA" w:rsidRDefault="00D83E0D">
      <w:pPr>
        <w:jc w:val="both"/>
      </w:pPr>
      <w:r>
        <w:t xml:space="preserve">Požadujeme, aby systém disponoval prostředím pro střední zdravotnický personál, lékařský personál i samotného klienta. Role v systému musí být jasně odděleny dle potřeb a legislativních možností pro sdílení zdravotnických dat. </w:t>
      </w:r>
    </w:p>
    <w:p w14:paraId="00000007" w14:textId="77777777" w:rsidR="004510EA" w:rsidRDefault="00D83E0D">
      <w:pPr>
        <w:jc w:val="both"/>
      </w:pPr>
      <w:r>
        <w:t xml:space="preserve">Platforma musí být provozovatelná v Cloudu v režimu vysoké dostupnosti. </w:t>
      </w:r>
    </w:p>
    <w:p w14:paraId="00000008" w14:textId="77777777" w:rsidR="004510EA" w:rsidRDefault="00D83E0D">
      <w:pPr>
        <w:jc w:val="both"/>
      </w:pPr>
      <w:r>
        <w:t xml:space="preserve">Systém musí umožnit dlouhodobou archivaci zdravotnických dat a musí umožnit napojení na systémy pro přenos zdravotnické dokumentace mezi zařízením a praktickým lékařem např. formou </w:t>
      </w:r>
      <w:proofErr w:type="spellStart"/>
      <w:r>
        <w:t>eZprávy</w:t>
      </w:r>
      <w:proofErr w:type="spellEnd"/>
      <w:r>
        <w:t xml:space="preserve"> nebo obdobným systémem.</w:t>
      </w:r>
    </w:p>
    <w:p w14:paraId="00000009" w14:textId="77777777" w:rsidR="004510EA" w:rsidRDefault="00D83E0D">
      <w:pPr>
        <w:jc w:val="both"/>
      </w:pPr>
      <w:r>
        <w:t>Uživatelskou aplikaci lze provozovat v prostředí pro PC, ale také na mobilních zařízeních jako nativní nebo webovou aplikaci.</w:t>
      </w:r>
    </w:p>
    <w:p w14:paraId="0000000A" w14:textId="77777777" w:rsidR="004510EA" w:rsidRDefault="00D83E0D">
      <w:pPr>
        <w:jc w:val="both"/>
      </w:pPr>
      <w:r>
        <w:t>Požadujeme plnou dostupnost v ČJ.</w:t>
      </w:r>
    </w:p>
    <w:p w14:paraId="0000000B" w14:textId="77777777" w:rsidR="004510EA" w:rsidRDefault="00D83E0D">
      <w:pPr>
        <w:jc w:val="both"/>
      </w:pPr>
      <w:r>
        <w:t>Požadujeme možnost zapisování poznámek a komentářů k provedeným vyšetřením/měřením, a to jak ze strany sester pobytových sociálních služeb, tak ze strany sloužících lékařů.</w:t>
      </w:r>
    </w:p>
    <w:p w14:paraId="0000000C" w14:textId="77777777" w:rsidR="004510EA" w:rsidRDefault="00D83E0D">
      <w:pPr>
        <w:jc w:val="both"/>
      </w:pPr>
      <w:r>
        <w:t>Požadujeme možnost lékaře i sestry vyvolat si jednotlivá provedená vyšetření (měření) zadaná sestrou, která jsou potřebná k provedení požadovaných úkonů.</w:t>
      </w:r>
    </w:p>
    <w:p w14:paraId="0000000D" w14:textId="77777777" w:rsidR="004510EA" w:rsidRDefault="00D83E0D">
      <w:pPr>
        <w:jc w:val="both"/>
      </w:pPr>
      <w:r>
        <w:t>Požadujeme, aby aplikace podporovala komunikační kanál mezi klientem, sestrou a lékařem, minimálně na bázi chatu.</w:t>
      </w:r>
    </w:p>
    <w:p w14:paraId="0000000E" w14:textId="77777777" w:rsidR="004510EA" w:rsidRDefault="00D83E0D">
      <w:pPr>
        <w:jc w:val="both"/>
      </w:pPr>
      <w:r>
        <w:t>Požadujeme, aby byla aplikace otevřená pro přidávání dalších zařízení na měření a jejich konektorů bez dalších licenčních nákladů.</w:t>
      </w:r>
    </w:p>
    <w:p w14:paraId="0000000F" w14:textId="77777777" w:rsidR="004510EA" w:rsidRDefault="00D83E0D">
      <w:pPr>
        <w:jc w:val="both"/>
      </w:pPr>
      <w:r>
        <w:t>Požadujeme funkci pro dokumentaci ran a dekubitů.</w:t>
      </w:r>
    </w:p>
    <w:sdt>
      <w:sdtPr>
        <w:tag w:val="goog_rdk_1"/>
        <w:id w:val="1764980283"/>
      </w:sdtPr>
      <w:sdtEndPr/>
      <w:sdtContent>
        <w:p w14:paraId="00000010" w14:textId="77777777" w:rsidR="004510EA" w:rsidRDefault="00D83E0D">
          <w:pPr>
            <w:jc w:val="both"/>
          </w:pPr>
          <w:r>
            <w:t>Požadujeme možnost nahrát souborový, foto nebo video obsah.</w:t>
          </w:r>
          <w:sdt>
            <w:sdtPr>
              <w:tag w:val="goog_rdk_0"/>
              <w:id w:val="1983240353"/>
            </w:sdtPr>
            <w:sdtEndPr/>
            <w:sdtContent/>
          </w:sdt>
        </w:p>
      </w:sdtContent>
    </w:sdt>
    <w:p w14:paraId="00000011" w14:textId="6466854D" w:rsidR="004510EA" w:rsidRDefault="009755CC">
      <w:pPr>
        <w:jc w:val="both"/>
      </w:pPr>
      <w:sdt>
        <w:sdtPr>
          <w:tag w:val="goog_rdk_2"/>
          <w:id w:val="1623515693"/>
        </w:sdtPr>
        <w:sdtEndPr/>
        <w:sdtContent>
          <w:r w:rsidR="00D83E0D">
            <w:t xml:space="preserve">Požadujeme </w:t>
          </w:r>
          <w:r w:rsidR="009D0E93">
            <w:t>certifikovanou SW platformu</w:t>
          </w:r>
        </w:sdtContent>
      </w:sdt>
    </w:p>
    <w:p w14:paraId="00000012" w14:textId="77777777" w:rsidR="004510EA" w:rsidRDefault="00D83E0D">
      <w:pPr>
        <w:jc w:val="both"/>
        <w:rPr>
          <w:b/>
        </w:rPr>
      </w:pPr>
      <w:r>
        <w:t xml:space="preserve">     </w:t>
      </w:r>
    </w:p>
    <w:p w14:paraId="00000013" w14:textId="77777777" w:rsidR="004510EA" w:rsidRDefault="004510EA">
      <w:pPr>
        <w:jc w:val="both"/>
      </w:pPr>
    </w:p>
    <w:p w14:paraId="00000014" w14:textId="77777777" w:rsidR="004510EA" w:rsidRDefault="004510EA">
      <w:pPr>
        <w:jc w:val="both"/>
      </w:pPr>
    </w:p>
    <w:p w14:paraId="00000015" w14:textId="77777777" w:rsidR="004510EA" w:rsidRDefault="004510EA">
      <w:pPr>
        <w:jc w:val="both"/>
        <w:rPr>
          <w:b/>
        </w:rPr>
      </w:pPr>
    </w:p>
    <w:p w14:paraId="00000016" w14:textId="77777777" w:rsidR="004510EA" w:rsidRDefault="00D83E0D">
      <w:pPr>
        <w:jc w:val="both"/>
        <w:rPr>
          <w:b/>
        </w:rPr>
      </w:pPr>
      <w:r>
        <w:rPr>
          <w:b/>
        </w:rPr>
        <w:t xml:space="preserve">Diagnostické sestavy </w:t>
      </w:r>
    </w:p>
    <w:p w14:paraId="00000017" w14:textId="77777777" w:rsidR="004510EA" w:rsidRDefault="00D83E0D">
      <w:pPr>
        <w:jc w:val="both"/>
      </w:pPr>
      <w:r>
        <w:t xml:space="preserve">Diagnostické sestavy slouží k </w:t>
      </w:r>
      <w:r>
        <w:rPr>
          <w:b/>
        </w:rPr>
        <w:t>okamžitému vyšetření klientů</w:t>
      </w:r>
      <w:r>
        <w:t xml:space="preserve"> a obsahují sadu přístrojů a senzorů umožňujících základní i rozšířenou diagnostiku. Dodány budou v různých variantách a množstvích podle zamýšleného použití. Všechny diagnostické přístroje budou propojeny se </w:t>
      </w:r>
      <w:r>
        <w:rPr>
          <w:b/>
        </w:rPr>
        <w:t>softwarovou platformou</w:t>
      </w:r>
      <w:r>
        <w:t xml:space="preserve">, která umožní jejich snadné ovládání, automatický sběr a vyhodnocení dat a jejich </w:t>
      </w:r>
      <w:r>
        <w:rPr>
          <w:b/>
        </w:rPr>
        <w:t>okamžité sdílení</w:t>
      </w:r>
      <w:r>
        <w:t xml:space="preserve"> s odborným zdravotnickým personálem prostřednictvím </w:t>
      </w:r>
      <w:proofErr w:type="spellStart"/>
      <w:r>
        <w:t>5G</w:t>
      </w:r>
      <w:proofErr w:type="spellEnd"/>
      <w:r>
        <w:t xml:space="preserve"> připojení. Přenos dat musí být zabezpečen dle požadavků Ministerstva zdravotnictví a dle platné legislativy. Stejně tak mohou být využity pro potřeby telemetrie pouze certifikované přístroje, které jsou registrovány na </w:t>
      </w:r>
      <w:proofErr w:type="spellStart"/>
      <w:r>
        <w:t>SÚKL</w:t>
      </w:r>
      <w:proofErr w:type="spellEnd"/>
      <w:r>
        <w:t>.</w:t>
      </w:r>
    </w:p>
    <w:p w14:paraId="00000018" w14:textId="77777777" w:rsidR="004510EA" w:rsidRDefault="00D83E0D">
      <w:pPr>
        <w:jc w:val="both"/>
        <w:rPr>
          <w:b/>
        </w:rPr>
      </w:pPr>
      <w:r>
        <w:rPr>
          <w:b/>
        </w:rPr>
        <w:t xml:space="preserve">Systém pro dlouhodobé monitorování </w:t>
      </w:r>
    </w:p>
    <w:p w14:paraId="00000019" w14:textId="77777777" w:rsidR="004510EA" w:rsidRDefault="00D83E0D">
      <w:pPr>
        <w:jc w:val="both"/>
      </w:pPr>
      <w:r>
        <w:t xml:space="preserve">Tento systém umožňuje </w:t>
      </w:r>
      <w:r>
        <w:rPr>
          <w:b/>
        </w:rPr>
        <w:t>průběžné sledování zdravotního stavu</w:t>
      </w:r>
      <w:r>
        <w:t xml:space="preserve"> klientů v reálném čase. Jeho součástí je sledování různých parametrů pomocí přenosných zařízení, sledování polohových služeb a monitorování na lůžku. Část komponent (např. nositelná zařízení, podložky) bude využívána i v podmínkách domácího prostředí.</w:t>
      </w:r>
    </w:p>
    <w:p w14:paraId="0000001A" w14:textId="77777777" w:rsidR="004510EA" w:rsidRDefault="00D83E0D">
      <w:pPr>
        <w:jc w:val="both"/>
        <w:rPr>
          <w:b/>
        </w:rPr>
      </w:pPr>
      <w:r>
        <w:rPr>
          <w:b/>
        </w:rPr>
        <w:t xml:space="preserve">Mobilní </w:t>
      </w:r>
      <w:proofErr w:type="spellStart"/>
      <w:r>
        <w:rPr>
          <w:b/>
        </w:rPr>
        <w:t>gateway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5G</w:t>
      </w:r>
      <w:proofErr w:type="spellEnd"/>
      <w:r>
        <w:rPr>
          <w:b/>
        </w:rPr>
        <w:t xml:space="preserve"> konektivita</w:t>
      </w:r>
    </w:p>
    <w:p w14:paraId="0000001B" w14:textId="77777777" w:rsidR="004510EA" w:rsidRDefault="00D83E0D">
      <w:pPr>
        <w:jc w:val="both"/>
        <w:rPr>
          <w:b/>
        </w:rPr>
      </w:pPr>
      <w:r>
        <w:t xml:space="preserve">Projekt zahrnuje </w:t>
      </w:r>
      <w:r>
        <w:rPr>
          <w:b/>
        </w:rPr>
        <w:t xml:space="preserve">dodávku mobilních </w:t>
      </w:r>
      <w:proofErr w:type="spellStart"/>
      <w:r>
        <w:rPr>
          <w:b/>
        </w:rPr>
        <w:t>gateway</w:t>
      </w:r>
      <w:proofErr w:type="spellEnd"/>
      <w:r>
        <w:t xml:space="preserve">, které budou sloužit jako rozhraní mezi měřícími zařízeními a </w:t>
      </w:r>
      <w:proofErr w:type="spellStart"/>
      <w:r>
        <w:rPr>
          <w:b/>
        </w:rPr>
        <w:t>5G</w:t>
      </w:r>
      <w:proofErr w:type="spellEnd"/>
      <w:r>
        <w:rPr>
          <w:b/>
        </w:rPr>
        <w:t xml:space="preserve"> sítí</w:t>
      </w:r>
      <w:r>
        <w:t xml:space="preserve">. Zařízení (HUB) bude schopen komunikovat s různými měřícími zařízeními a přenášet data do telemedicínské platformy přes </w:t>
      </w:r>
      <w:proofErr w:type="spellStart"/>
      <w:r>
        <w:t>5G</w:t>
      </w:r>
      <w:proofErr w:type="spellEnd"/>
      <w:r>
        <w:t xml:space="preserve">. Mobilní </w:t>
      </w:r>
      <w:proofErr w:type="spellStart"/>
      <w:r>
        <w:t>gateway</w:t>
      </w:r>
      <w:proofErr w:type="spellEnd"/>
      <w:r>
        <w:t xml:space="preserve"> zajistí rychlý a spolehlivý přenos zdravotních dat, což je klíčové pro efektivní telemedicínskou komunikaci. Díky </w:t>
      </w:r>
      <w:proofErr w:type="spellStart"/>
      <w:r>
        <w:t>5G</w:t>
      </w:r>
      <w:proofErr w:type="spellEnd"/>
      <w:r>
        <w:t xml:space="preserve"> konektivitě bude zajištěna </w:t>
      </w:r>
      <w:r>
        <w:rPr>
          <w:b/>
        </w:rPr>
        <w:t>vysoká rychlost přenosu</w:t>
      </w:r>
      <w:r>
        <w:t>, nízká latence a bezpečnost datového přenosu, což je nezbytné pro ochranu citlivých zdravotních informací.</w:t>
      </w:r>
    </w:p>
    <w:p w14:paraId="0000001C" w14:textId="77777777" w:rsidR="004510EA" w:rsidRDefault="00D83E0D">
      <w:pPr>
        <w:jc w:val="both"/>
      </w:pPr>
      <w:r>
        <w:t xml:space="preserve">Dále k tomu systému bude dodáno potřebné hardwarové vybavení (notebook, chytrý telefon), zajišťující mimo jiné možnost obsluhy systému ze strany personálu, správu měřicích zařízení, přiřazování, definování a mapování jednotlivých zařízení, dále umožní přijímání notifikací a vizualizaci dat. Součástí bude i licence pro </w:t>
      </w:r>
      <w:proofErr w:type="spellStart"/>
      <w:r>
        <w:t>MDM</w:t>
      </w:r>
      <w:proofErr w:type="spellEnd"/>
      <w:r>
        <w:t xml:space="preserve">. Důležitým prvkem je rovněž </w:t>
      </w:r>
      <w:r>
        <w:rPr>
          <w:b/>
        </w:rPr>
        <w:t>možnost budoucího rozšíření</w:t>
      </w:r>
      <w:r>
        <w:t xml:space="preserve"> o senzory a komponenty, které nyní nejsou známy. </w:t>
      </w:r>
    </w:p>
    <w:p w14:paraId="0000001D" w14:textId="77777777" w:rsidR="004510EA" w:rsidRDefault="00D83E0D">
      <w:pPr>
        <w:pStyle w:val="Nadpis2"/>
        <w:jc w:val="both"/>
      </w:pPr>
      <w:r>
        <w:br/>
        <w:t>1.2. Klíčové funkce a požadované výstupy</w:t>
      </w:r>
    </w:p>
    <w:p w14:paraId="0000001E" w14:textId="77777777" w:rsidR="004510EA" w:rsidRDefault="00D83E0D">
      <w:pPr>
        <w:jc w:val="both"/>
      </w:pPr>
      <w:r>
        <w:t xml:space="preserve">Dodaný </w:t>
      </w:r>
      <w:proofErr w:type="spellStart"/>
      <w:r>
        <w:rPr>
          <w:b/>
        </w:rPr>
        <w:t>5G</w:t>
      </w:r>
      <w:proofErr w:type="spellEnd"/>
      <w:r>
        <w:rPr>
          <w:b/>
        </w:rPr>
        <w:t xml:space="preserve"> telemedicínský systém</w:t>
      </w:r>
      <w:r>
        <w:t xml:space="preserve"> musí splňovat následující klíčové funkce a poskytovat odpovídající výstupy:</w:t>
      </w:r>
    </w:p>
    <w:p w14:paraId="0000001F" w14:textId="77777777" w:rsidR="004510EA" w:rsidRDefault="00D83E0D">
      <w:pPr>
        <w:jc w:val="both"/>
      </w:pPr>
      <w:r>
        <w:rPr>
          <w:b/>
        </w:rPr>
        <w:t>Diagnostické sestavy</w:t>
      </w:r>
      <w:r>
        <w:t>, blíže specifikované v 2.1.1</w:t>
      </w:r>
    </w:p>
    <w:p w14:paraId="00000020" w14:textId="77777777" w:rsidR="004510EA" w:rsidRDefault="00D83E0D">
      <w:pPr>
        <w:numPr>
          <w:ilvl w:val="0"/>
          <w:numId w:val="8"/>
        </w:numPr>
        <w:jc w:val="both"/>
      </w:pPr>
      <w:r>
        <w:rPr>
          <w:b/>
        </w:rPr>
        <w:t>Okamžitá diagnostika zdravotního stavu</w:t>
      </w:r>
      <w:r>
        <w:t xml:space="preserve"> klienta pomocí přenosných zařízení </w:t>
      </w:r>
    </w:p>
    <w:p w14:paraId="00000021" w14:textId="77777777" w:rsidR="004510EA" w:rsidRDefault="00D83E0D">
      <w:pPr>
        <w:numPr>
          <w:ilvl w:val="0"/>
          <w:numId w:val="8"/>
        </w:numPr>
        <w:jc w:val="both"/>
      </w:pPr>
      <w:r>
        <w:rPr>
          <w:b/>
        </w:rPr>
        <w:t>Distanční vyšetření</w:t>
      </w:r>
      <w:r>
        <w:t xml:space="preserve"> umožňující lékařům provádět posouzení na dálku.</w:t>
      </w:r>
    </w:p>
    <w:p w14:paraId="00000022" w14:textId="77777777" w:rsidR="004510EA" w:rsidRDefault="00D83E0D">
      <w:pPr>
        <w:numPr>
          <w:ilvl w:val="0"/>
          <w:numId w:val="8"/>
        </w:numPr>
        <w:jc w:val="both"/>
      </w:pPr>
      <w:r>
        <w:rPr>
          <w:b/>
        </w:rPr>
        <w:t>Mobilní diagnostická laboratoř</w:t>
      </w:r>
      <w:r>
        <w:t xml:space="preserve"> pro komplexnější vyšetření v terénu </w:t>
      </w:r>
    </w:p>
    <w:p w14:paraId="00000023" w14:textId="6ED436DC" w:rsidR="004510EA" w:rsidRDefault="00D83E0D">
      <w:pPr>
        <w:numPr>
          <w:ilvl w:val="0"/>
          <w:numId w:val="8"/>
        </w:numPr>
        <w:jc w:val="both"/>
      </w:pPr>
      <w:r>
        <w:rPr>
          <w:b/>
        </w:rPr>
        <w:t>Automatizovaný přenos naměřených hodnot</w:t>
      </w:r>
      <w:r>
        <w:t xml:space="preserve"> do zdravotnického informačního systému (IS </w:t>
      </w:r>
      <w:proofErr w:type="spellStart"/>
      <w:r>
        <w:t>Cygnus</w:t>
      </w:r>
      <w:proofErr w:type="spellEnd"/>
      <w:r w:rsidR="009755CC">
        <w:t xml:space="preserve"> 2</w:t>
      </w:r>
      <w:r>
        <w:t>).</w:t>
      </w:r>
    </w:p>
    <w:p w14:paraId="00000024" w14:textId="77777777" w:rsidR="004510EA" w:rsidRDefault="00D83E0D">
      <w:pPr>
        <w:numPr>
          <w:ilvl w:val="0"/>
          <w:numId w:val="8"/>
        </w:numPr>
        <w:jc w:val="both"/>
      </w:pPr>
      <w:r>
        <w:rPr>
          <w:b/>
        </w:rPr>
        <w:lastRenderedPageBreak/>
        <w:t>Upozornění na kritické hodnoty</w:t>
      </w:r>
      <w:r>
        <w:t xml:space="preserve"> a možnost rychlé konzultace s lékařem.</w:t>
      </w:r>
    </w:p>
    <w:p w14:paraId="00000025" w14:textId="77777777" w:rsidR="004510EA" w:rsidRDefault="00D83E0D">
      <w:pPr>
        <w:jc w:val="both"/>
      </w:pPr>
      <w:r>
        <w:rPr>
          <w:b/>
        </w:rPr>
        <w:t>Systém pro dlouhodobé monitorování</w:t>
      </w:r>
      <w:r>
        <w:t>, blíže specifikovaný v 2.1.2</w:t>
      </w:r>
    </w:p>
    <w:p w14:paraId="00000026" w14:textId="77777777" w:rsidR="004510EA" w:rsidRDefault="00D83E0D">
      <w:pPr>
        <w:numPr>
          <w:ilvl w:val="0"/>
          <w:numId w:val="9"/>
        </w:numPr>
        <w:jc w:val="both"/>
      </w:pPr>
      <w:r>
        <w:rPr>
          <w:b/>
        </w:rPr>
        <w:t>Nepřetržitý sběr a analýza zdravotních dat</w:t>
      </w:r>
      <w:r>
        <w:t xml:space="preserve"> – srdeční frekvence, tlak, odhad saturace O₂ (</w:t>
      </w:r>
      <w:proofErr w:type="spellStart"/>
      <w:r>
        <w:t>SpO2</w:t>
      </w:r>
      <w:proofErr w:type="spellEnd"/>
      <w:r>
        <w:t>), aktivita atd.</w:t>
      </w:r>
    </w:p>
    <w:p w14:paraId="00000027" w14:textId="77777777" w:rsidR="004510EA" w:rsidRDefault="00D83E0D">
      <w:pPr>
        <w:numPr>
          <w:ilvl w:val="0"/>
          <w:numId w:val="9"/>
        </w:numPr>
        <w:jc w:val="both"/>
      </w:pPr>
      <w:r>
        <w:rPr>
          <w:b/>
        </w:rPr>
        <w:t>Senzorické podložky</w:t>
      </w:r>
      <w:r>
        <w:t xml:space="preserve"> poskytující komfortní a neinvazivní monitoring a prezentace těchto dat v rámci platformy.     </w:t>
      </w:r>
    </w:p>
    <w:p w14:paraId="00000028" w14:textId="77777777" w:rsidR="004510EA" w:rsidRDefault="00D83E0D">
      <w:pPr>
        <w:numPr>
          <w:ilvl w:val="0"/>
          <w:numId w:val="9"/>
        </w:numPr>
        <w:jc w:val="both"/>
      </w:pPr>
      <w:r>
        <w:rPr>
          <w:b/>
        </w:rPr>
        <w:t>Bezdrátové senzory pro sledování uživatele</w:t>
      </w:r>
      <w:r>
        <w:t>, např. detekce pádu, vzorce pohybu.</w:t>
      </w:r>
    </w:p>
    <w:p w14:paraId="00000029" w14:textId="77777777" w:rsidR="004510EA" w:rsidRDefault="00D83E0D">
      <w:pPr>
        <w:numPr>
          <w:ilvl w:val="0"/>
          <w:numId w:val="9"/>
        </w:numPr>
        <w:jc w:val="both"/>
      </w:pPr>
      <w:r>
        <w:rPr>
          <w:b/>
        </w:rPr>
        <w:t>Integrace s elektronickou zdravotní dokumentací</w:t>
      </w:r>
      <w:r>
        <w:t xml:space="preserve"> pro efektivní řízení péče – možnost ukládání zdravotnické dokumentace typu překladová a ambulantní zpráva     </w:t>
      </w:r>
    </w:p>
    <w:p w14:paraId="0000002A" w14:textId="77777777" w:rsidR="004510EA" w:rsidRDefault="00D83E0D">
      <w:pPr>
        <w:jc w:val="both"/>
      </w:pPr>
      <w:r>
        <w:rPr>
          <w:b/>
        </w:rPr>
        <w:t xml:space="preserve">Mobilní </w:t>
      </w:r>
      <w:proofErr w:type="spellStart"/>
      <w:r>
        <w:rPr>
          <w:b/>
        </w:rPr>
        <w:t>gateway</w:t>
      </w:r>
      <w:proofErr w:type="spellEnd"/>
      <w:r>
        <w:t>, blíže specifikovaný v 2.1.3</w:t>
      </w:r>
    </w:p>
    <w:p w14:paraId="0000002B" w14:textId="77777777" w:rsidR="004510EA" w:rsidRDefault="00D83E0D">
      <w:pPr>
        <w:numPr>
          <w:ilvl w:val="0"/>
          <w:numId w:val="3"/>
        </w:numPr>
        <w:jc w:val="both"/>
      </w:pPr>
      <w:r>
        <w:t xml:space="preserve">Slouží jako </w:t>
      </w:r>
      <w:r>
        <w:rPr>
          <w:b/>
        </w:rPr>
        <w:t>komunikační rozhraní</w:t>
      </w:r>
      <w:r>
        <w:t xml:space="preserve"> mezi měřicími přístroji a centrálním telemedicínským systémem.</w:t>
      </w:r>
    </w:p>
    <w:p w14:paraId="0000002C" w14:textId="77777777" w:rsidR="004510EA" w:rsidRDefault="00D83E0D">
      <w:pPr>
        <w:numPr>
          <w:ilvl w:val="0"/>
          <w:numId w:val="3"/>
        </w:numPr>
        <w:jc w:val="both"/>
      </w:pPr>
      <w:r>
        <w:t xml:space="preserve">Zajišťuje předzpracování, šifrování a bezpečný přenos dat pomocí </w:t>
      </w:r>
      <w:proofErr w:type="spellStart"/>
      <w:r>
        <w:t>5G</w:t>
      </w:r>
      <w:proofErr w:type="spellEnd"/>
      <w:r>
        <w:t xml:space="preserve"> konektivity.</w:t>
      </w:r>
    </w:p>
    <w:p w14:paraId="0000002D" w14:textId="77777777" w:rsidR="004510EA" w:rsidRDefault="00D83E0D">
      <w:pPr>
        <w:numPr>
          <w:ilvl w:val="0"/>
          <w:numId w:val="3"/>
        </w:numPr>
        <w:jc w:val="both"/>
      </w:pPr>
      <w:r>
        <w:t xml:space="preserve">Podporuje více komunikačních protokolů (např. Bluetooth, Wi-Fi, </w:t>
      </w:r>
      <w:proofErr w:type="spellStart"/>
      <w:r>
        <w:rPr>
          <w:b/>
        </w:rPr>
        <w:t>LTE</w:t>
      </w:r>
      <w:proofErr w:type="spellEnd"/>
      <w:r>
        <w:rPr>
          <w:b/>
        </w:rPr>
        <w:t>/</w:t>
      </w:r>
      <w:proofErr w:type="spellStart"/>
      <w:r>
        <w:rPr>
          <w:b/>
        </w:rPr>
        <w:t>5G</w:t>
      </w:r>
      <w:proofErr w:type="spellEnd"/>
      <w:r>
        <w:t>).</w:t>
      </w:r>
    </w:p>
    <w:p w14:paraId="0000002E" w14:textId="77777777" w:rsidR="004510EA" w:rsidRDefault="00D83E0D">
      <w:pPr>
        <w:numPr>
          <w:ilvl w:val="0"/>
          <w:numId w:val="3"/>
        </w:numPr>
        <w:jc w:val="both"/>
      </w:pPr>
      <w:r>
        <w:t>Umožňuje flexibilní připojení různých typů diagnostických a monitorovacích zařízení.</w:t>
      </w:r>
    </w:p>
    <w:p w14:paraId="0000002F" w14:textId="77777777" w:rsidR="004510EA" w:rsidRDefault="00D83E0D">
      <w:pPr>
        <w:numPr>
          <w:ilvl w:val="0"/>
          <w:numId w:val="3"/>
        </w:numPr>
        <w:jc w:val="both"/>
      </w:pPr>
      <w:r>
        <w:t>Funguje i v režimu dočasné ztráty konektivity, s lokálním uložením dat a automatickou synchronizací.</w:t>
      </w:r>
    </w:p>
    <w:p w14:paraId="00000030" w14:textId="77777777" w:rsidR="004510EA" w:rsidRDefault="00D83E0D">
      <w:pPr>
        <w:jc w:val="both"/>
      </w:pPr>
      <w:r>
        <w:t xml:space="preserve">Celý systém musí zajišťovat </w:t>
      </w:r>
      <w:r>
        <w:rPr>
          <w:b/>
        </w:rPr>
        <w:t xml:space="preserve">rychlý, bezpečný a spolehlivý přenos dat prostřednictvím </w:t>
      </w:r>
      <w:proofErr w:type="spellStart"/>
      <w:r>
        <w:rPr>
          <w:b/>
        </w:rPr>
        <w:t>5G</w:t>
      </w:r>
      <w:proofErr w:type="spellEnd"/>
      <w:r>
        <w:rPr>
          <w:b/>
        </w:rPr>
        <w:t xml:space="preserve"> technologie</w:t>
      </w:r>
      <w:r>
        <w:t xml:space="preserve"> a umožnit </w:t>
      </w:r>
      <w:r>
        <w:rPr>
          <w:b/>
        </w:rPr>
        <w:t>efektivní spolupráci zdravotnického personálu</w:t>
      </w:r>
      <w:r>
        <w:t xml:space="preserve">. </w:t>
      </w:r>
    </w:p>
    <w:p w14:paraId="00000031" w14:textId="77777777" w:rsidR="004510EA" w:rsidRDefault="00D83E0D">
      <w:pPr>
        <w:pStyle w:val="Nadpis2"/>
        <w:jc w:val="both"/>
      </w:pPr>
      <w:r>
        <w:t>1.3. Požadované standardy a kompatibilita</w:t>
      </w:r>
    </w:p>
    <w:p w14:paraId="00000032" w14:textId="4384EFD3" w:rsidR="004510EA" w:rsidRDefault="00D83E0D">
      <w:pPr>
        <w:jc w:val="both"/>
      </w:pPr>
      <w:r>
        <w:t xml:space="preserve">Dodaný telemedicínský systém musí </w:t>
      </w:r>
      <w:r>
        <w:rPr>
          <w:b/>
        </w:rPr>
        <w:t>splňovat relevantní medicínské, technické a bezpečnostní standardy</w:t>
      </w:r>
      <w:r>
        <w:t xml:space="preserve">, které zajistí jeho interoperabilitu, ochranu citlivých zdravotních dat a bezpečný provoz v souladu s platnými právními předpisy. Systém musí být navržen tak, aby byl schopen pracovat s různými protokoly a standardy, používanými v medicínských zařízeních, jako jsou </w:t>
      </w:r>
      <w:proofErr w:type="spellStart"/>
      <w:r>
        <w:t>HL7</w:t>
      </w:r>
      <w:proofErr w:type="spellEnd"/>
      <w:r>
        <w:t xml:space="preserve">, </w:t>
      </w:r>
      <w:proofErr w:type="spellStart"/>
      <w:r>
        <w:t>DASTA</w:t>
      </w:r>
      <w:proofErr w:type="spellEnd"/>
      <w:r>
        <w:t xml:space="preserve"> a další, pro zajištění bezproblémové výměny dat mezi systémy. </w:t>
      </w:r>
      <w:r>
        <w:rPr>
          <w:b/>
        </w:rPr>
        <w:t>Zásadní je rovněž integrace do již existujících zdravotnických systémů</w:t>
      </w:r>
      <w:r>
        <w:t xml:space="preserve"> </w:t>
      </w:r>
      <w:r>
        <w:rPr>
          <w:b/>
        </w:rPr>
        <w:t xml:space="preserve">v pobytové sociální službě, zejména informačního systému </w:t>
      </w:r>
      <w:proofErr w:type="spellStart"/>
      <w:r>
        <w:rPr>
          <w:b/>
        </w:rPr>
        <w:t>Cygnus</w:t>
      </w:r>
      <w:proofErr w:type="spellEnd"/>
      <w:r w:rsidR="009755CC">
        <w:rPr>
          <w:b/>
        </w:rPr>
        <w:t xml:space="preserve"> 2</w:t>
      </w:r>
      <w:r>
        <w:rPr>
          <w:b/>
        </w:rPr>
        <w:t>.</w:t>
      </w:r>
    </w:p>
    <w:p w14:paraId="00000033" w14:textId="77777777" w:rsidR="004510EA" w:rsidRDefault="00D83E0D">
      <w:pPr>
        <w:jc w:val="both"/>
      </w:pPr>
      <w:r>
        <w:t>Systém musí garantovat ochranu osobních a zdravotních údajů v souladu s platnými právními předpisy o ochraně osobních údajů, zejména s obecným nařízením o ochraně osobních údajů (GDPR). Veškeré citlivé údaje musí být šifrovány jak při přenosu, tak při ukládání. Systém musí zahrnovat silné autentizační metody pro přístup k datům a funkce pro správu uživatelských práv a monitorování přístupu.</w:t>
      </w:r>
    </w:p>
    <w:p w14:paraId="00000034" w14:textId="77777777" w:rsidR="004510EA" w:rsidRDefault="00D83E0D">
      <w:pPr>
        <w:jc w:val="both"/>
      </w:pPr>
      <w:r>
        <w:t>V rámci bezpečnosti dat je nezbytné zajistit pravidelné zálohování všech zdravotních a osobních údajů a jejich šifrované uchovávání v souladu s normami pro uchovávání zdravotních informací. Kromě toho musí být zavedeny postupy pro auditování přístupu k datům a jejich zpracování, aby bylo možné sledovat všechny změny a přístupy k citlivým informacím.</w:t>
      </w:r>
    </w:p>
    <w:p w14:paraId="00000035" w14:textId="77777777" w:rsidR="004510EA" w:rsidRDefault="00D83E0D">
      <w:pPr>
        <w:jc w:val="both"/>
      </w:pPr>
      <w:r>
        <w:t>Požadavky na bezpečnost:</w:t>
      </w:r>
    </w:p>
    <w:p w14:paraId="00000036" w14:textId="77777777" w:rsidR="004510EA" w:rsidRDefault="00D83E0D">
      <w:pPr>
        <w:spacing w:after="0"/>
        <w:jc w:val="both"/>
      </w:pPr>
      <w:r>
        <w:lastRenderedPageBreak/>
        <w:t xml:space="preserve">Požadujeme provedení komplexní analýzy rizik informační a kybernetické bezpečnosti </w:t>
      </w:r>
      <w:r>
        <w:br/>
        <w:t>v souvislosti jak s nasazením služeb, tak i s provozem služeb. Analýza rizik informační bezpečnosti musí být zpracována před nasazením do provozního režimu. Součástí analýzy rizik bude:</w:t>
      </w:r>
    </w:p>
    <w:p w14:paraId="00000037" w14:textId="77777777" w:rsidR="004510EA" w:rsidRDefault="00D83E0D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t xml:space="preserve">zdokumentovaný postup provedení analýzy rizik (metodika), </w:t>
      </w:r>
    </w:p>
    <w:p w14:paraId="00000038" w14:textId="77777777" w:rsidR="004510EA" w:rsidRDefault="00D83E0D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t xml:space="preserve">výstup z procesu modelování hrozeb, </w:t>
      </w:r>
      <w:r>
        <w:tab/>
      </w:r>
    </w:p>
    <w:p w14:paraId="00000039" w14:textId="77777777" w:rsidR="004510EA" w:rsidRDefault="00D83E0D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t xml:space="preserve">zprávu z analýzy rizik obsahující vydefinovaná a klasifikovaná rizika, která jsou určena na základě míry dopadu, pravděpodobnosti výskytu zranitelnosti a pravděpodobnosti naplnění hrozby, a popis těchto rizik, </w:t>
      </w:r>
    </w:p>
    <w:p w14:paraId="0000003A" w14:textId="77777777" w:rsidR="004510EA" w:rsidRDefault="00D83E0D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</w:rPr>
      </w:pPr>
      <w:r>
        <w:t xml:space="preserve">plán zvládání rizik s popisem opatření na snížení míry rizik včetně popisu způsobu jejich nasazení. (V případě analýzy rizik provozu služby se očekává návrh opatření, v případě analýzy rizik při nasazení služby se očekává popis existujících opatření, která budou v rámci nasazení implementována). </w:t>
      </w:r>
    </w:p>
    <w:p w14:paraId="0000003B" w14:textId="77777777" w:rsidR="004510EA" w:rsidRDefault="00D83E0D">
      <w:pPr>
        <w:spacing w:after="0"/>
        <w:jc w:val="both"/>
      </w:pPr>
      <w:r>
        <w:t xml:space="preserve">Zpracovávaná data musí být uložena na území EU. </w:t>
      </w:r>
    </w:p>
    <w:p w14:paraId="0000003C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Výhodou je, když nabízená komunikační platforma je zajištěna v režimu vysoké dostupnosti. </w:t>
      </w:r>
    </w:p>
    <w:p w14:paraId="0000003D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Dodavatel bude transparentně a bez zbytečného prodlení hlásit veškeré bezpečnostní incidenty týkající se poskytovaných služeb. </w:t>
      </w:r>
    </w:p>
    <w:p w14:paraId="0000003E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Dodavatel prokáže zavedení ISO/</w:t>
      </w:r>
      <w:proofErr w:type="spellStart"/>
      <w:r>
        <w:t>IEC</w:t>
      </w:r>
      <w:proofErr w:type="spellEnd"/>
      <w:r>
        <w:t xml:space="preserve"> 27001 v rozsahu poskytované služby.  </w:t>
      </w:r>
    </w:p>
    <w:p w14:paraId="0000003F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Dodavatel předloží na vyžádání informace k zavedenému procesu patch managementu, který zahrnuje: </w:t>
      </w:r>
    </w:p>
    <w:p w14:paraId="00000040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inventarizaci všech informačních aktiv v použitých službách včetně verzí SW a firmware </w:t>
      </w:r>
    </w:p>
    <w:p w14:paraId="00000041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pravidelné sledování dostupnosti nových aktualizací a nových verzí SW a firmware </w:t>
      </w:r>
    </w:p>
    <w:p w14:paraId="00000042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testování nasazení nových aktualizací a nových verzí SW a firmware </w:t>
      </w:r>
    </w:p>
    <w:p w14:paraId="00000043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stanovení bezpečného rozvrhu nasazení nových verzí </w:t>
      </w:r>
    </w:p>
    <w:p w14:paraId="00000044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bezpečné nasazení nových verzí bez zbytečného prodlení </w:t>
      </w:r>
    </w:p>
    <w:p w14:paraId="00000045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zajištění návratu do původního stavu v případě problémů při nasazování nových verzí </w:t>
      </w:r>
    </w:p>
    <w:p w14:paraId="00000046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dokumentaci/evidenci zastaralých či </w:t>
      </w:r>
      <w:proofErr w:type="spellStart"/>
      <w:r>
        <w:t>neaktualizovatelných</w:t>
      </w:r>
      <w:proofErr w:type="spellEnd"/>
      <w:r>
        <w:t xml:space="preserve"> zařízení </w:t>
      </w:r>
    </w:p>
    <w:p w14:paraId="00000047" w14:textId="77777777" w:rsidR="004510EA" w:rsidRDefault="00D83E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dokumentace celého procesu patch managementu </w:t>
      </w:r>
    </w:p>
    <w:p w14:paraId="00000048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0000049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000004A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Auditní stopa činnosti uživatelů a informačních aktiv služeb musí být zaznamenávána, a ukládána po dobu minimálně 18 měsíců, a to minimálně v takovém rozsahu, který je v souladu s platnou legislativou ČR a EU v oblasti kybernetické bezpečnosti. Tato auditní stopa musí být monitorována a pravidelně vyhodnocována na případné bezpečnostní události a incidenty. </w:t>
      </w:r>
    </w:p>
    <w:p w14:paraId="0000004B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000004C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Přihlášení do komunikační platformy musí proběhnout pomocí </w:t>
      </w:r>
      <w:proofErr w:type="spellStart"/>
      <w:r>
        <w:t>dvoufaktorové</w:t>
      </w:r>
      <w:proofErr w:type="spellEnd"/>
      <w:r>
        <w:t xml:space="preserve"> autentizace a personifikovaného účtu (nepřenosného na jiné osoby).</w:t>
      </w:r>
    </w:p>
    <w:p w14:paraId="0000004D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000004E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Případné komunikační zařízení (tablet, mobilní telefon) musí být zabezpečené proti neautorizovanému přístupu a provozované na výrobcem podporovaném operačním systému.</w:t>
      </w:r>
    </w:p>
    <w:p w14:paraId="0000004F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0000050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Komunikace mezi lékařem a sestrou probíhá prostřednictvím plně zabezpečených elektronických prostředků/aplikace. Přenášená a ukládaná data musí být šifrována, přičemž při šifrování dat musí být použity takové kryptografické funkce a algoritmy, které jsou schválené v rámci Doporučení v oblasti kryptografických prostředků v aktuální verzi vydané Národním úřadem pro kybernetickou a informační bezpečnost (dostupné na webových stránkách úřadu).</w:t>
      </w:r>
    </w:p>
    <w:p w14:paraId="00000051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V rámci služby bude zpracována a zadavateli dodána provozně-bezpečnostní dokumentace, která bude mimo jiné obsahovat: </w:t>
      </w:r>
    </w:p>
    <w:p w14:paraId="00000052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t xml:space="preserve">Soupis a popis všech funkcí prosazujících bezpečnost pro: </w:t>
      </w:r>
    </w:p>
    <w:p w14:paraId="00000053" w14:textId="77777777" w:rsidR="004510EA" w:rsidRDefault="00D83E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zajištění integrity dat při jejich přenosu a uložení, </w:t>
      </w:r>
    </w:p>
    <w:p w14:paraId="00000054" w14:textId="77777777" w:rsidR="004510EA" w:rsidRDefault="00D83E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zajištění důvěrnosti dat při jejich přenosu a uložení,  </w:t>
      </w:r>
    </w:p>
    <w:p w14:paraId="00000055" w14:textId="77777777" w:rsidR="004510EA" w:rsidRDefault="00D83E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lastRenderedPageBreak/>
        <w:t xml:space="preserve">zajištění autentizace a session managementu, </w:t>
      </w:r>
    </w:p>
    <w:p w14:paraId="00000056" w14:textId="77777777" w:rsidR="004510EA" w:rsidRDefault="00D83E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zajištění ošetření, filtrování a prověřování veškerých vstupních dat, </w:t>
      </w:r>
    </w:p>
    <w:p w14:paraId="00000057" w14:textId="77777777" w:rsidR="004510EA" w:rsidRDefault="00D83E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zajištění auditní stopy a logování, </w:t>
      </w:r>
    </w:p>
    <w:p w14:paraId="00000058" w14:textId="77777777" w:rsidR="004510EA" w:rsidRDefault="00D83E0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>externí rozhraní – jak uživatelská, tak pro komunikaci s externími systém</w:t>
      </w:r>
    </w:p>
    <w:p w14:paraId="00000059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0000005A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Popis těchto oblastí: </w:t>
      </w:r>
    </w:p>
    <w:p w14:paraId="0000005B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použité kryptografické funkce a algoritmy – popis přesné specifikace a použitých parametrů (typ funkce, délka klíče, mód šifrování, počet </w:t>
      </w:r>
      <w:proofErr w:type="gramStart"/>
      <w:r>
        <w:t>iterací,</w:t>
      </w:r>
      <w:proofErr w:type="gramEnd"/>
      <w:r>
        <w:t xml:space="preserve"> apod.), </w:t>
      </w:r>
    </w:p>
    <w:p w14:paraId="0000005C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>
        <w:t>poloformální</w:t>
      </w:r>
      <w:proofErr w:type="spellEnd"/>
      <w:r>
        <w:t xml:space="preserve"> popis všech nestandardních algoritmů, funkcí a protokolů v oblasti bezpečnosti (např. vlastní šifrovací algoritmus, vlastní komunikační </w:t>
      </w:r>
      <w:proofErr w:type="gramStart"/>
      <w:r>
        <w:t>protokol,</w:t>
      </w:r>
      <w:proofErr w:type="gramEnd"/>
      <w:r>
        <w:t xml:space="preserve"> apod.), </w:t>
      </w:r>
    </w:p>
    <w:p w14:paraId="0000005D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autentizační a autorizační model a </w:t>
      </w:r>
      <w:proofErr w:type="gramStart"/>
      <w:r>
        <w:t>mechanizmus</w:t>
      </w:r>
      <w:proofErr w:type="gramEnd"/>
      <w:r>
        <w:t xml:space="preserve"> (např. fáze autentizace, způsoby ověření, heslové politiky, protokoly, session management, ...), </w:t>
      </w:r>
    </w:p>
    <w:p w14:paraId="0000005E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řízení uživatelských a privilegovaných rolí a oprávnění (včetně Access </w:t>
      </w:r>
      <w:proofErr w:type="spellStart"/>
      <w:r>
        <w:t>Control</w:t>
      </w:r>
      <w:proofErr w:type="spellEnd"/>
      <w:r>
        <w:t xml:space="preserve">, Least </w:t>
      </w:r>
      <w:proofErr w:type="spellStart"/>
      <w:r>
        <w:t>Priviledge</w:t>
      </w:r>
      <w:proofErr w:type="spellEnd"/>
      <w:r>
        <w:t xml:space="preserve"> principy, </w:t>
      </w:r>
      <w:proofErr w:type="spellStart"/>
      <w:r>
        <w:t>Multi-factor</w:t>
      </w:r>
      <w:proofErr w:type="spellEnd"/>
      <w:r>
        <w:t xml:space="preserve"> autentizace, </w:t>
      </w:r>
      <w:proofErr w:type="spellStart"/>
      <w:r>
        <w:t>Segregation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Duties</w:t>
      </w:r>
      <w:proofErr w:type="spellEnd"/>
      <w:r>
        <w:t xml:space="preserve"> principy, </w:t>
      </w:r>
      <w:proofErr w:type="spellStart"/>
      <w:r>
        <w:t>Accountability</w:t>
      </w:r>
      <w:proofErr w:type="spellEnd"/>
      <w:r>
        <w:t xml:space="preserve"> principy) </w:t>
      </w:r>
    </w:p>
    <w:p w14:paraId="0000005F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detailní popis úrovně všech přístupových oprávnění/aplikačních rolí, </w:t>
      </w:r>
    </w:p>
    <w:p w14:paraId="00000060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vývoj systému – použité bezpečnostní metodiky, praxe, frameworky, standardy a politiky při návrhu, plánování a vývoji, </w:t>
      </w:r>
    </w:p>
    <w:p w14:paraId="00000061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způsob bezpečnostního testování, </w:t>
      </w:r>
    </w:p>
    <w:p w14:paraId="00000062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monitoring řešení a zaznamenávání logů a auditní stopy (viz. část provozně bezpečnostní dokumentace Monitoring), </w:t>
      </w:r>
    </w:p>
    <w:p w14:paraId="00000063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způsob zajištění dostupnosti, důvěrnosti a integrity dat ve stavech jejich uložení/uchování, zpracování a přenosu, </w:t>
      </w:r>
    </w:p>
    <w:p w14:paraId="00000064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soulad s právními normami pro ochranu osobních údajů, </w:t>
      </w:r>
    </w:p>
    <w:p w14:paraId="00000065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bezpečnostní architektura infrastruktury, </w:t>
      </w:r>
    </w:p>
    <w:p w14:paraId="00000066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 xml:space="preserve">bezpečnostní architektura klienta/koncového zařízení, </w:t>
      </w:r>
    </w:p>
    <w:p w14:paraId="00000067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>
        <w:t>disaster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plán a strategie zálohování,</w:t>
      </w:r>
    </w:p>
    <w:p w14:paraId="00000068" w14:textId="77777777" w:rsidR="004510EA" w:rsidRDefault="00D83E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t>metodika tvorby testovacích dat.</w:t>
      </w:r>
    </w:p>
    <w:p w14:paraId="00000069" w14:textId="77777777" w:rsidR="004510EA" w:rsidRDefault="00D83E0D">
      <w:pPr>
        <w:jc w:val="both"/>
      </w:pPr>
      <w:r>
        <w:t>Veškeré požadavky na bezpečnost musí být dodány do 4 měsíců od podpisu smlouvy.</w:t>
      </w:r>
    </w:p>
    <w:p w14:paraId="0000006A" w14:textId="77777777" w:rsidR="004510EA" w:rsidRDefault="00D83E0D">
      <w:pPr>
        <w:pStyle w:val="Nadpis1"/>
        <w:jc w:val="both"/>
      </w:pPr>
      <w:r>
        <w:t>2. Přehled komponent systému</w:t>
      </w:r>
    </w:p>
    <w:p w14:paraId="0000006B" w14:textId="77777777" w:rsidR="004510EA" w:rsidRDefault="00D83E0D">
      <w:pPr>
        <w:pStyle w:val="Nadpis2"/>
        <w:jc w:val="both"/>
      </w:pPr>
      <w:r>
        <w:t>2.1. Hardwarové komponenty</w:t>
      </w:r>
    </w:p>
    <w:p w14:paraId="0000006C" w14:textId="77777777" w:rsidR="004510EA" w:rsidRDefault="00D83E0D">
      <w:pPr>
        <w:jc w:val="both"/>
      </w:pPr>
      <w:r>
        <w:t xml:space="preserve">Poptávaný systém je komplexní technologické řešení, které integruje diagnostické nástroje, dlouhodobé monitorování zdravotního stavu pacientů a bezpečný přenos dat do centralizovaných systémů pro analýzu a správu. Architektura tohoto systému je navržena tak, aby umožnila </w:t>
      </w:r>
      <w:r>
        <w:rPr>
          <w:b/>
        </w:rPr>
        <w:t>efektivní, bezpečnou a interoperabilní komunikaci mezi různými zdravotnickými prostředky (měřicí zařízení) a personálem</w:t>
      </w:r>
      <w:r>
        <w:t xml:space="preserve">. Všechna použitá zařízení a technologie, vyjma nositelných zařízení pro dlouhodobé monitorování, musí být certifikována pro použití ve zdravotnictví dle příslušných evropských a českých předpisů, zejména </w:t>
      </w:r>
      <w:r>
        <w:rPr>
          <w:b/>
        </w:rPr>
        <w:t>nařízení (EU) 2017/745 (</w:t>
      </w:r>
      <w:proofErr w:type="spellStart"/>
      <w:r>
        <w:rPr>
          <w:b/>
        </w:rPr>
        <w:t>MDR</w:t>
      </w:r>
      <w:proofErr w:type="spellEnd"/>
      <w:r>
        <w:rPr>
          <w:b/>
        </w:rPr>
        <w:t>) o zdravotnických prostředcích</w:t>
      </w:r>
      <w:r>
        <w:t>.</w:t>
      </w:r>
    </w:p>
    <w:p w14:paraId="0000006D" w14:textId="77777777" w:rsidR="004510EA" w:rsidRDefault="00D83E0D">
      <w:pPr>
        <w:jc w:val="both"/>
      </w:pPr>
      <w:r>
        <w:t>Základními komponentami jsou diagnostické sestavy, systém pro dlouhodobé monitorování, a doplňková zařízení pro obsluhu.</w:t>
      </w:r>
    </w:p>
    <w:p w14:paraId="0000006E" w14:textId="77777777" w:rsidR="004510EA" w:rsidRDefault="00D83E0D">
      <w:pPr>
        <w:pStyle w:val="Nadpis3"/>
        <w:jc w:val="both"/>
      </w:pPr>
      <w:r>
        <w:t>2.1.1 Diagnostické sestavy</w:t>
      </w:r>
    </w:p>
    <w:p w14:paraId="0000006F" w14:textId="77777777" w:rsidR="004510EA" w:rsidRDefault="00D83E0D">
      <w:pPr>
        <w:jc w:val="both"/>
      </w:pPr>
      <w:r>
        <w:rPr>
          <w:b/>
        </w:rPr>
        <w:t xml:space="preserve">Diagnostická sestava pro základní vyšetření (4 sety) </w:t>
      </w:r>
      <w:r>
        <w:t>bude obsahovat souhrn zařízení pro základní vyšetření      fyziologických parametrů klienta, jmenovitě (</w:t>
      </w:r>
      <w:r>
        <w:rPr>
          <w:u w:val="single"/>
        </w:rPr>
        <w:t>včetně spotřebního materiálu</w:t>
      </w:r>
      <w:r>
        <w:t>):</w:t>
      </w:r>
    </w:p>
    <w:p w14:paraId="00000070" w14:textId="77777777" w:rsidR="004510EA" w:rsidRDefault="00D83E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Měření krevního tlaku (</w:t>
      </w:r>
      <w:r>
        <w:rPr>
          <w:color w:val="000000"/>
          <w:u w:val="single"/>
        </w:rPr>
        <w:t>manžety L a XL</w:t>
      </w:r>
      <w:r>
        <w:rPr>
          <w:color w:val="000000"/>
        </w:rPr>
        <w:t>)</w:t>
      </w:r>
    </w:p>
    <w:p w14:paraId="00000071" w14:textId="77777777" w:rsidR="004510EA" w:rsidRDefault="00D83E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Měření srdeční frekvence</w:t>
      </w:r>
    </w:p>
    <w:p w14:paraId="00000072" w14:textId="77777777" w:rsidR="004510EA" w:rsidRDefault="00D83E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Vyšetření </w:t>
      </w:r>
      <w:proofErr w:type="spellStart"/>
      <w:r>
        <w:rPr>
          <w:color w:val="000000"/>
        </w:rPr>
        <w:t>SpO2</w:t>
      </w:r>
      <w:proofErr w:type="spellEnd"/>
    </w:p>
    <w:p w14:paraId="00000073" w14:textId="77777777" w:rsidR="004510EA" w:rsidRDefault="00D83E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>Měření tělesné teploty</w:t>
      </w:r>
    </w:p>
    <w:p w14:paraId="00000074" w14:textId="77777777" w:rsidR="004510EA" w:rsidRDefault="00D83E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Hodnota glykemie (</w:t>
      </w:r>
      <w:r>
        <w:rPr>
          <w:color w:val="000000"/>
          <w:u w:val="single"/>
        </w:rPr>
        <w:t>proužky do glukometru a lancety</w:t>
      </w:r>
      <w:r>
        <w:rPr>
          <w:color w:val="000000"/>
        </w:rPr>
        <w:t>)</w:t>
      </w:r>
    </w:p>
    <w:p w14:paraId="00000075" w14:textId="77777777" w:rsidR="004510EA" w:rsidRDefault="00D83E0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Měření hmotnosti</w:t>
      </w:r>
    </w:p>
    <w:p w14:paraId="00000076" w14:textId="77777777" w:rsidR="004510EA" w:rsidRDefault="00D83E0D">
      <w:pPr>
        <w:ind w:left="360"/>
        <w:jc w:val="both"/>
      </w:pPr>
      <w:r>
        <w:t xml:space="preserve">     </w:t>
      </w:r>
      <w:r>
        <w:rPr>
          <w:b/>
        </w:rPr>
        <w:t>Sestava pro distanční vyšetření (4 sety)</w:t>
      </w:r>
      <w:r>
        <w:t xml:space="preserve"> bude obsahovat zařízení pro vyšetření pomocí náhledů a náslechů, digitalizaci a přenos výsledků vyšetření do IS, jmenovitě:</w:t>
      </w:r>
    </w:p>
    <w:p w14:paraId="00000077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Otoskop</w:t>
      </w:r>
    </w:p>
    <w:p w14:paraId="00000078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Fonendoskop</w:t>
      </w:r>
    </w:p>
    <w:p w14:paraId="00000079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0000007A" w14:textId="77777777" w:rsidR="004510EA" w:rsidRDefault="00D83E0D">
      <w:pPr>
        <w:ind w:left="360"/>
        <w:jc w:val="both"/>
      </w:pPr>
      <w:r>
        <w:rPr>
          <w:b/>
        </w:rPr>
        <w:t xml:space="preserve">Mobilní diagnostická laboratoř (4 kusy) </w:t>
      </w:r>
      <w:r>
        <w:t>bude obsahovat zařízení pro mobilní vyšetření vzorků krve, konkrétně pro vyhodnocení (</w:t>
      </w:r>
      <w:r>
        <w:rPr>
          <w:u w:val="single"/>
        </w:rPr>
        <w:t>včetně spotřebního materiálu</w:t>
      </w:r>
      <w:r>
        <w:t>)</w:t>
      </w:r>
    </w:p>
    <w:p w14:paraId="0000007B" w14:textId="77777777" w:rsidR="004510EA" w:rsidRDefault="00D83E0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C-reaktivního proteinu (</w:t>
      </w:r>
      <w:proofErr w:type="spellStart"/>
      <w:r>
        <w:rPr>
          <w:color w:val="000000"/>
          <w:u w:val="single"/>
        </w:rPr>
        <w:t>300ks</w:t>
      </w:r>
      <w:proofErr w:type="spellEnd"/>
      <w:r>
        <w:rPr>
          <w:color w:val="000000"/>
        </w:rPr>
        <w:t>)</w:t>
      </w:r>
    </w:p>
    <w:p w14:paraId="0000007C" w14:textId="77777777" w:rsidR="004510EA" w:rsidRDefault="00D83E0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Srážlivosti krve (</w:t>
      </w:r>
      <w:proofErr w:type="spellStart"/>
      <w:r>
        <w:rPr>
          <w:color w:val="000000"/>
        </w:rPr>
        <w:t>INR</w:t>
      </w:r>
      <w:proofErr w:type="spellEnd"/>
      <w:r>
        <w:rPr>
          <w:color w:val="000000"/>
        </w:rPr>
        <w:t>) (</w:t>
      </w:r>
      <w:proofErr w:type="spellStart"/>
      <w:r>
        <w:rPr>
          <w:color w:val="000000"/>
          <w:u w:val="single"/>
        </w:rPr>
        <w:t>25ks</w:t>
      </w:r>
      <w:proofErr w:type="spellEnd"/>
      <w:r>
        <w:rPr>
          <w:color w:val="000000"/>
        </w:rPr>
        <w:t>)</w:t>
      </w:r>
    </w:p>
    <w:p w14:paraId="0000007D" w14:textId="77777777" w:rsidR="004510EA" w:rsidRDefault="00D83E0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D-Dimerů (</w:t>
      </w:r>
      <w:proofErr w:type="spellStart"/>
      <w:r>
        <w:rPr>
          <w:color w:val="000000"/>
          <w:u w:val="single"/>
        </w:rPr>
        <w:t>25ks</w:t>
      </w:r>
      <w:proofErr w:type="spellEnd"/>
      <w:r>
        <w:rPr>
          <w:color w:val="000000"/>
        </w:rPr>
        <w:t>)</w:t>
      </w:r>
    </w:p>
    <w:p w14:paraId="0000007E" w14:textId="77777777" w:rsidR="004510EA" w:rsidRDefault="00D83E0D">
      <w:pPr>
        <w:ind w:left="360"/>
        <w:jc w:val="both"/>
      </w:pPr>
      <w:r>
        <w:rPr>
          <w:b/>
        </w:rPr>
        <w:t xml:space="preserve">Doplňkové zařízení </w:t>
      </w:r>
      <w:r>
        <w:t>umožní rozšíření diagnostiky výše uvedenými sety o další biologické parametry (</w:t>
      </w:r>
      <w:r>
        <w:rPr>
          <w:u w:val="single"/>
        </w:rPr>
        <w:t>včetně spotřebního materiálu</w:t>
      </w:r>
      <w:r>
        <w:t>)</w:t>
      </w:r>
    </w:p>
    <w:p w14:paraId="0000007F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Epizodní 6 svodové EKG - 2 sady</w:t>
      </w:r>
    </w:p>
    <w:p w14:paraId="00000080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Spirometr (</w:t>
      </w:r>
      <w:proofErr w:type="spellStart"/>
      <w:r>
        <w:rPr>
          <w:color w:val="000000"/>
          <w:u w:val="single"/>
        </w:rPr>
        <w:t>2ks</w:t>
      </w:r>
      <w:proofErr w:type="spellEnd"/>
      <w:r>
        <w:rPr>
          <w:color w:val="000000"/>
          <w:u w:val="single"/>
        </w:rPr>
        <w:t xml:space="preserve"> náustků</w:t>
      </w:r>
      <w:r>
        <w:rPr>
          <w:color w:val="000000"/>
        </w:rPr>
        <w:t>)</w:t>
      </w:r>
    </w:p>
    <w:p w14:paraId="00000081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Analyzátor moči (</w:t>
      </w:r>
      <w:proofErr w:type="spellStart"/>
      <w:r>
        <w:rPr>
          <w:color w:val="000000"/>
          <w:u w:val="single"/>
        </w:rPr>
        <w:t>100ks</w:t>
      </w:r>
      <w:proofErr w:type="spellEnd"/>
      <w:r>
        <w:rPr>
          <w:color w:val="000000"/>
          <w:u w:val="single"/>
        </w:rPr>
        <w:t xml:space="preserve"> analyzačních proužků</w:t>
      </w:r>
      <w:r>
        <w:rPr>
          <w:color w:val="000000"/>
        </w:rPr>
        <w:t>)</w:t>
      </w:r>
    </w:p>
    <w:p w14:paraId="00000082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Senzory pro kontinuální monitoring glykémie (</w:t>
      </w:r>
      <w:proofErr w:type="spellStart"/>
      <w:r>
        <w:rPr>
          <w:color w:val="000000"/>
        </w:rPr>
        <w:t>CGM</w:t>
      </w:r>
      <w:proofErr w:type="spellEnd"/>
      <w:r>
        <w:rPr>
          <w:color w:val="000000"/>
        </w:rPr>
        <w:t xml:space="preserve">) – </w:t>
      </w:r>
      <w:proofErr w:type="spellStart"/>
      <w:r>
        <w:rPr>
          <w:color w:val="000000"/>
        </w:rPr>
        <w:t>3ks</w:t>
      </w:r>
      <w:proofErr w:type="spellEnd"/>
    </w:p>
    <w:p w14:paraId="00000083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Zařízení (tablet) s terapeutickými a diagnostickými aplikacemi, vhodné pro aktivizaci osob se sníženými kognitivními schopnostmi – </w:t>
      </w:r>
      <w:proofErr w:type="spellStart"/>
      <w:r>
        <w:rPr>
          <w:color w:val="000000"/>
        </w:rPr>
        <w:t>3ks</w:t>
      </w:r>
      <w:proofErr w:type="spellEnd"/>
    </w:p>
    <w:p w14:paraId="00000084" w14:textId="77777777" w:rsidR="004510EA" w:rsidRDefault="00D83E0D">
      <w:pPr>
        <w:pStyle w:val="Nadpis3"/>
        <w:jc w:val="both"/>
      </w:pPr>
      <w:bookmarkStart w:id="0" w:name="_heading=h.kzxy5eangi21" w:colFirst="0" w:colLast="0"/>
      <w:bookmarkEnd w:id="0"/>
      <w:r>
        <w:t>2.1.2 Systém pro dlouhodobé monitorování</w:t>
      </w:r>
    </w:p>
    <w:p w14:paraId="00000085" w14:textId="77777777" w:rsidR="004510EA" w:rsidRDefault="00D83E0D">
      <w:pPr>
        <w:jc w:val="both"/>
      </w:pPr>
      <w:r>
        <w:t>Systém pro dlouhodobé monitorování umožní nepřetržité sledování zdravotního stavu klientů v reálném čase, sběr a analýzu relevantních biologických parametrů a automatický přenos dat do informačního systému. Systém bude sestávat z následujících komponent:</w:t>
      </w:r>
    </w:p>
    <w:p w14:paraId="00000086" w14:textId="77777777" w:rsidR="004510EA" w:rsidRDefault="00D83E0D">
      <w:pPr>
        <w:jc w:val="both"/>
        <w:rPr>
          <w:b/>
        </w:rPr>
      </w:pPr>
      <w:r>
        <w:rPr>
          <w:b/>
        </w:rPr>
        <w:t>Nositelné zařízení (30 ks)</w:t>
      </w:r>
    </w:p>
    <w:p w14:paraId="00000087" w14:textId="77777777" w:rsidR="004510EA" w:rsidRDefault="00D83E0D">
      <w:pPr>
        <w:jc w:val="both"/>
      </w:pPr>
      <w:r>
        <w:t>Nositelné zařízení ve formě hodinek/náramku umožní kontinuální</w:t>
      </w:r>
      <w:r>
        <w:rPr>
          <w:b/>
        </w:rPr>
        <w:t xml:space="preserve"> monitorování klíčových vitálních funkcí a pohybové aktivity uživatele</w:t>
      </w:r>
      <w:r>
        <w:t>. S ohledem na fakt, že primární cílovou skupinou uživatelů jsou senioři a osoby se zdravotním postižením, včetně klientů s kognitivními poruchami, je nutné, aby nositelná zařízení byla co nejjednodušší na používání. Nositelné zařízení by tak mělo být navržen</w:t>
      </w:r>
    </w:p>
    <w:p w14:paraId="00000088" w14:textId="77777777" w:rsidR="004510EA" w:rsidRDefault="00D83E0D">
      <w:pPr>
        <w:jc w:val="both"/>
      </w:pPr>
      <w:r>
        <w:t xml:space="preserve">o jako </w:t>
      </w:r>
      <w:r>
        <w:rPr>
          <w:b/>
        </w:rPr>
        <w:t xml:space="preserve">„set, </w:t>
      </w:r>
      <w:proofErr w:type="spellStart"/>
      <w:r>
        <w:rPr>
          <w:b/>
        </w:rPr>
        <w:t>wear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forget</w:t>
      </w:r>
      <w:proofErr w:type="spellEnd"/>
      <w:r>
        <w:rPr>
          <w:b/>
        </w:rPr>
        <w:t>“</w:t>
      </w:r>
      <w:r>
        <w:t xml:space="preserve">, tedy zařízení </w:t>
      </w:r>
      <w:r>
        <w:rPr>
          <w:b/>
        </w:rPr>
        <w:t>fungující plně autonomně po prvotním nastavení</w:t>
      </w:r>
      <w:r>
        <w:t xml:space="preserve">. Zařízení musí být </w:t>
      </w:r>
      <w:r>
        <w:rPr>
          <w:b/>
        </w:rPr>
        <w:t>ergonomicky navržené</w:t>
      </w:r>
      <w:r>
        <w:t xml:space="preserve"> tak, aby bylo pohodlné při celodenním nošení, bez ostrých hran nebo rizika podráždění pokožky. Všechny interakce musí být </w:t>
      </w:r>
      <w:r>
        <w:rPr>
          <w:b/>
        </w:rPr>
        <w:t>minimalizovány</w:t>
      </w:r>
      <w:r>
        <w:t xml:space="preserve"> – jedinými aktivními prvky by mělo být SOS tlačítko a jednoduchý indikátor stavu baterie.</w:t>
      </w:r>
    </w:p>
    <w:p w14:paraId="00000089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Monitorování srdeční frekvence a variability srdečního rytmu</w:t>
      </w:r>
    </w:p>
    <w:p w14:paraId="0000008A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Měření tělesné teploty</w:t>
      </w:r>
    </w:p>
    <w:p w14:paraId="0000008B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Detekce aktivity, pádů a hodnocení vzorců pohybu a počtu kroků</w:t>
      </w:r>
    </w:p>
    <w:p w14:paraId="0000008C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Měření saturace </w:t>
      </w:r>
      <w:proofErr w:type="spellStart"/>
      <w:r>
        <w:rPr>
          <w:color w:val="000000"/>
        </w:rPr>
        <w:t>SpO</w:t>
      </w:r>
      <w:proofErr w:type="spellEnd"/>
      <w:r>
        <w:rPr>
          <w:color w:val="000000"/>
        </w:rPr>
        <w:t>₂</w:t>
      </w:r>
    </w:p>
    <w:p w14:paraId="0000008D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Záznam pozice GPS</w:t>
      </w:r>
    </w:p>
    <w:p w14:paraId="0000008E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Funkce SOS tlačítka</w:t>
      </w:r>
    </w:p>
    <w:p w14:paraId="0000008F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Možnost upozornění personálu v případě nestandardních hodnot</w:t>
      </w:r>
    </w:p>
    <w:p w14:paraId="00000090" w14:textId="77777777" w:rsidR="004510EA" w:rsidRDefault="00D83E0D">
      <w:pPr>
        <w:jc w:val="both"/>
        <w:rPr>
          <w:b/>
        </w:rPr>
      </w:pPr>
      <w:r>
        <w:rPr>
          <w:b/>
        </w:rPr>
        <w:t>Monitoring pomocí senzorických podložek (20 ks)</w:t>
      </w:r>
    </w:p>
    <w:p w14:paraId="00000091" w14:textId="77777777" w:rsidR="004510EA" w:rsidRDefault="00D83E0D">
      <w:pPr>
        <w:jc w:val="both"/>
      </w:pPr>
      <w:r>
        <w:rPr>
          <w:b/>
        </w:rPr>
        <w:lastRenderedPageBreak/>
        <w:t>Senzorické podložky</w:t>
      </w:r>
      <w:r>
        <w:t xml:space="preserve"> budou umístěny na lůžko nebo do křesla a umožní:</w:t>
      </w:r>
    </w:p>
    <w:p w14:paraId="00000092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Identifikaci anomálií v dýchání nebo srdeční činnosti</w:t>
      </w:r>
    </w:p>
    <w:p w14:paraId="00000093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Monitorování srdeční a dechové frekvence</w:t>
      </w:r>
    </w:p>
    <w:p w14:paraId="00000094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Detekci změn polohy a pohybu uživatele</w:t>
      </w:r>
    </w:p>
    <w:p w14:paraId="00000095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Vyhodnocení pobytu na lůžku a </w:t>
      </w:r>
      <w:r>
        <w:rPr>
          <w:b/>
          <w:color w:val="000000"/>
        </w:rPr>
        <w:t>prevence dekubitů</w:t>
      </w:r>
    </w:p>
    <w:p w14:paraId="00000096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Detekci přítomnosti na lůžku</w:t>
      </w:r>
    </w:p>
    <w:p w14:paraId="00000097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jc w:val="both"/>
        <w:rPr>
          <w:color w:val="000000"/>
        </w:rPr>
      </w:pPr>
    </w:p>
    <w:p w14:paraId="00000098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jc w:val="both"/>
        <w:rPr>
          <w:color w:val="000000"/>
        </w:rPr>
      </w:pPr>
      <w:r>
        <w:rPr>
          <w:b/>
          <w:color w:val="000000"/>
        </w:rPr>
        <w:t>Sledování uživatele pomocí bezdrátových senzorů</w:t>
      </w:r>
    </w:p>
    <w:p w14:paraId="00000099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Bezdrátové senzory zajistí </w:t>
      </w:r>
      <w:r>
        <w:rPr>
          <w:b/>
          <w:color w:val="000000"/>
        </w:rPr>
        <w:t>neinvazivní monitoring prostředí a pohybu klienta</w:t>
      </w:r>
    </w:p>
    <w:p w14:paraId="0000009A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Pohybové senzory detekují přítomnost a pohyb klienta v prostoru</w:t>
      </w:r>
    </w:p>
    <w:p w14:paraId="0000009B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Senzory pro detekci pádu s automatickým upozorněním personálu</w:t>
      </w:r>
    </w:p>
    <w:sdt>
      <w:sdtPr>
        <w:tag w:val="goog_rdk_4"/>
        <w:id w:val="1367145471"/>
      </w:sdtPr>
      <w:sdtEndPr/>
      <w:sdtContent>
        <w:p w14:paraId="0000009C" w14:textId="77777777" w:rsidR="004510EA" w:rsidRDefault="00D83E0D">
          <w:pPr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14" w:hanging="357"/>
            <w:jc w:val="both"/>
          </w:pPr>
          <w:r>
            <w:rPr>
              <w:color w:val="000000"/>
            </w:rPr>
            <w:t>Množství senzorů zajistí dostatečné pokrytí sledovaných prostor, detailní přehled prostor je součástí specifikace jako příloha</w:t>
          </w:r>
          <w:sdt>
            <w:sdtPr>
              <w:tag w:val="goog_rdk_3"/>
              <w:id w:val="907340664"/>
            </w:sdtPr>
            <w:sdtEndPr/>
            <w:sdtContent>
              <w:r>
                <w:rPr>
                  <w:color w:val="000000"/>
                </w:rPr>
                <w:t xml:space="preserve">; </w:t>
              </w:r>
              <w:r>
                <w:t xml:space="preserve">popis prostor a jejich minimální požadované pokrytí bezdrátovými senzory: Budova </w:t>
              </w:r>
              <w:proofErr w:type="spellStart"/>
              <w:proofErr w:type="gramStart"/>
              <w:r>
                <w:t>DZR</w:t>
              </w:r>
              <w:proofErr w:type="spellEnd"/>
              <w:r>
                <w:t>:  Oddělení</w:t>
              </w:r>
              <w:proofErr w:type="gramEnd"/>
              <w:r>
                <w:t xml:space="preserve"> </w:t>
              </w:r>
              <w:proofErr w:type="spellStart"/>
              <w:r>
                <w:t>P1</w:t>
              </w:r>
              <w:proofErr w:type="spellEnd"/>
              <w:r>
                <w:t xml:space="preserve"> je v přízemí, pracuje zde 15 pracovníků přímé obslužné péče (4 na den a 1 v noci). Uživatelů zde žije 25. Jsou tu 3 jednolůžkové pokoje. 2 dvoulůžkové pokoje a 6 třílůžkových pokojů. Vidíme jako vhodné instalovat radary do 6 pokojů. Převážná většina uživatelů je zcela imobilní. U menší části hrozí pád. </w:t>
              </w:r>
            </w:sdtContent>
          </w:sdt>
        </w:p>
      </w:sdtContent>
    </w:sdt>
    <w:sdt>
      <w:sdtPr>
        <w:tag w:val="goog_rdk_6"/>
        <w:id w:val="26227748"/>
      </w:sdtPr>
      <w:sdtEndPr/>
      <w:sdtContent>
        <w:p w14:paraId="0000009D" w14:textId="77777777" w:rsidR="004510EA" w:rsidRDefault="009755C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720"/>
            <w:jc w:val="both"/>
          </w:pPr>
          <w:sdt>
            <w:sdtPr>
              <w:tag w:val="goog_rdk_5"/>
              <w:id w:val="-263737500"/>
            </w:sdtPr>
            <w:sdtEndPr/>
            <w:sdtContent>
              <w:r w:rsidR="00D83E0D">
                <w:t xml:space="preserve">Oddělení </w:t>
              </w:r>
              <w:proofErr w:type="spellStart"/>
              <w:r w:rsidR="00D83E0D">
                <w:t>P2</w:t>
              </w:r>
              <w:proofErr w:type="spellEnd"/>
              <w:r w:rsidR="00D83E0D">
                <w:t xml:space="preserve"> je v prvním patře, pracuje zde 11 pracovníků přímé obslužné péče (3 na den a 1 v noci). Uživatelů zde žije 19. Je tu 5 jednolůžkových pokojů a 7 dvoulůžkových pokojů. Vidíme dobré instalovat radary do 5 pokojů. Část uživatelů je velmi těžko mobilních a hrozí pád. </w:t>
              </w:r>
            </w:sdtContent>
          </w:sdt>
        </w:p>
      </w:sdtContent>
    </w:sdt>
    <w:p w14:paraId="0000009E" w14:textId="77777777" w:rsidR="004510EA" w:rsidRDefault="009755C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sdt>
        <w:sdtPr>
          <w:tag w:val="goog_rdk_7"/>
          <w:id w:val="-1017145684"/>
        </w:sdtPr>
        <w:sdtEndPr/>
        <w:sdtContent>
          <w:r w:rsidR="00D83E0D">
            <w:t xml:space="preserve">Oddělení </w:t>
          </w:r>
          <w:proofErr w:type="spellStart"/>
          <w:r w:rsidR="00D83E0D">
            <w:t>P3</w:t>
          </w:r>
          <w:proofErr w:type="spellEnd"/>
          <w:r w:rsidR="00D83E0D">
            <w:t xml:space="preserve"> je ve druhém patře, pracuje zde 8 pracovníků přímé obslužné péče (2 na den a 1 v noci). Uživatelů zde žije 14, jsou, dalo by se </w:t>
          </w:r>
          <w:proofErr w:type="gramStart"/>
          <w:r w:rsidR="00D83E0D">
            <w:t>říci</w:t>
          </w:r>
          <w:proofErr w:type="gramEnd"/>
          <w:r w:rsidR="00D83E0D">
            <w:t>, nejvíce mobilní ze všech tří oddělení, proto zde hrozí nejvíce pádů. Jsou zde 3 jednolůžkové pokoje, 4 dvoulůžkové pokoje a 1 třílůžkový pokoj. Navrhujeme radary do všech pokojů. Prakticky v každém pokoji jsou uživatelé s rizikem pádu.</w:t>
          </w:r>
        </w:sdtContent>
      </w:sdt>
    </w:p>
    <w:p w14:paraId="0000009F" w14:textId="77777777" w:rsidR="004510EA" w:rsidRDefault="00D83E0D">
      <w:pPr>
        <w:pStyle w:val="Nadpis3"/>
        <w:jc w:val="both"/>
      </w:pPr>
      <w:r>
        <w:t xml:space="preserve">2.1.3 Mobilní </w:t>
      </w:r>
      <w:proofErr w:type="spellStart"/>
      <w:r>
        <w:t>5G</w:t>
      </w:r>
      <w:proofErr w:type="spellEnd"/>
      <w:r>
        <w:t xml:space="preserve"> </w:t>
      </w:r>
      <w:proofErr w:type="spellStart"/>
      <w:r>
        <w:t>gateway</w:t>
      </w:r>
      <w:proofErr w:type="spellEnd"/>
    </w:p>
    <w:p w14:paraId="000000A0" w14:textId="77777777" w:rsidR="004510EA" w:rsidRDefault="00D83E0D">
      <w:pPr>
        <w:jc w:val="both"/>
      </w:pPr>
      <w:r>
        <w:t xml:space="preserve">Mobilní </w:t>
      </w:r>
      <w:proofErr w:type="spellStart"/>
      <w:r>
        <w:t>gateway</w:t>
      </w:r>
      <w:proofErr w:type="spellEnd"/>
      <w:r>
        <w:t xml:space="preserve"> slouží jako klíčový prvek pro zajištění spolehlivého a bezpečného přenosu dat mezi jednotlivými měřicími zařízeními a centrálním systémem prostřednictvím </w:t>
      </w:r>
      <w:proofErr w:type="spellStart"/>
      <w:r>
        <w:t>5G</w:t>
      </w:r>
      <w:proofErr w:type="spellEnd"/>
      <w:r>
        <w:t xml:space="preserve"> konektivity. Zařízení zprostředkovává komunikaci mezi různými diagnostickými a monitorovacími senzory a umožňuje jejich připojení k zabezpečené síti. Očekává se splnění zejména následujících požadavků:</w:t>
      </w:r>
    </w:p>
    <w:p w14:paraId="000000A1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Podpora více komunikačních protokolů (Bluetooth, Wi-Fi, </w:t>
      </w:r>
      <w:proofErr w:type="spellStart"/>
      <w:r>
        <w:rPr>
          <w:color w:val="000000"/>
        </w:rPr>
        <w:t>LTE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5G</w:t>
      </w:r>
      <w:proofErr w:type="spellEnd"/>
      <w:r>
        <w:rPr>
          <w:color w:val="000000"/>
        </w:rPr>
        <w:t>) pro připojení široké škály měřicích zařízení.</w:t>
      </w:r>
    </w:p>
    <w:p w14:paraId="000000A2" w14:textId="77777777" w:rsidR="004510EA" w:rsidRDefault="00D83E0D">
      <w:pPr>
        <w:numPr>
          <w:ilvl w:val="0"/>
          <w:numId w:val="2"/>
        </w:numPr>
        <w:spacing w:after="120" w:line="276" w:lineRule="auto"/>
        <w:jc w:val="both"/>
      </w:pPr>
      <w:r>
        <w:t xml:space="preserve">podpora pásem </w:t>
      </w:r>
      <w:proofErr w:type="spellStart"/>
      <w:r>
        <w:t>N28</w:t>
      </w:r>
      <w:proofErr w:type="spellEnd"/>
      <w:r>
        <w:t xml:space="preserve">, </w:t>
      </w:r>
      <w:proofErr w:type="spellStart"/>
      <w:r>
        <w:t>N3</w:t>
      </w:r>
      <w:proofErr w:type="spellEnd"/>
      <w:r>
        <w:t xml:space="preserve"> a </w:t>
      </w:r>
      <w:proofErr w:type="spellStart"/>
      <w:r>
        <w:t>N1</w:t>
      </w:r>
      <w:proofErr w:type="spellEnd"/>
    </w:p>
    <w:p w14:paraId="000000A3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Možnost integrace s různými typy zdravotnických senzorů a diagnostických přístrojů.</w:t>
      </w:r>
    </w:p>
    <w:p w14:paraId="000000A4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Zajištění šifrovaného přenosu dat do zabezpečeného medicínského cloudu.</w:t>
      </w:r>
    </w:p>
    <w:p w14:paraId="000000A5" w14:textId="2C407FE0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Automatická synchronizace a ukládání naměřených údajů s</w:t>
      </w:r>
      <w:r>
        <w:t xml:space="preserve"> </w:t>
      </w:r>
      <w:r>
        <w:rPr>
          <w:color w:val="000000"/>
        </w:rPr>
        <w:t xml:space="preserve">informačním systémem </w:t>
      </w:r>
      <w:proofErr w:type="spellStart"/>
      <w:r>
        <w:rPr>
          <w:color w:val="000000"/>
        </w:rPr>
        <w:t>Cygnus</w:t>
      </w:r>
      <w:proofErr w:type="spellEnd"/>
      <w:r w:rsidR="009755CC">
        <w:rPr>
          <w:color w:val="000000"/>
        </w:rPr>
        <w:t xml:space="preserve"> 2</w:t>
      </w:r>
      <w:r>
        <w:rPr>
          <w:color w:val="000000"/>
        </w:rPr>
        <w:t>.</w:t>
      </w:r>
    </w:p>
    <w:p w14:paraId="000000A6" w14:textId="77777777" w:rsidR="004510EA" w:rsidRDefault="00D83E0D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color w:val="000000"/>
        </w:rPr>
      </w:pPr>
      <w:r>
        <w:rPr>
          <w:color w:val="000000"/>
        </w:rPr>
        <w:t>Dále je vyžadována flexibilní architektura a modularita, umožňující přidávání nových diagnostických zařízení a možnost rozšíření o další funkce bez nutnosti hardwarových úprav. Z hlediska bezpečnosti musí zařízení splňovat obvyklé standardy pro práci s citlivými zdravotními daty, musí umožňovat práci v </w:t>
      </w:r>
      <w:proofErr w:type="spellStart"/>
      <w:r>
        <w:rPr>
          <w:color w:val="000000"/>
        </w:rPr>
        <w:t>offline</w:t>
      </w:r>
      <w:proofErr w:type="spellEnd"/>
      <w:r>
        <w:rPr>
          <w:color w:val="000000"/>
        </w:rPr>
        <w:t xml:space="preserve"> režimu s dočasným ukládáním dat. </w:t>
      </w:r>
    </w:p>
    <w:p w14:paraId="000000A7" w14:textId="77777777" w:rsidR="004510EA" w:rsidRDefault="00D83E0D">
      <w:pPr>
        <w:pStyle w:val="Nadpis3"/>
        <w:jc w:val="both"/>
      </w:pPr>
      <w:r>
        <w:t>2.1.4 Další podpůrná zařízení</w:t>
      </w:r>
    </w:p>
    <w:p w14:paraId="000000A8" w14:textId="77777777" w:rsidR="004510EA" w:rsidRDefault="00D83E0D">
      <w:pPr>
        <w:jc w:val="both"/>
      </w:pPr>
      <w:r>
        <w:t xml:space="preserve">Pro obsluhu jednotlivých komponent systému je dále nutné dodání zařízení, umožňujících </w:t>
      </w:r>
      <w:r>
        <w:rPr>
          <w:b/>
        </w:rPr>
        <w:t>obsluhu jednotlivých komponent systému, správu zařízení a uživatelů.</w:t>
      </w:r>
      <w:r>
        <w:t xml:space="preserve"> Jedná se především o </w:t>
      </w:r>
    </w:p>
    <w:p w14:paraId="000000A9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lastRenderedPageBreak/>
        <w:t>Notebooky</w:t>
      </w:r>
      <w:r>
        <w:rPr>
          <w:color w:val="000000"/>
        </w:rPr>
        <w:t xml:space="preserve"> umožňující přístup k webovému rozhraní systému v minimálním počtu </w:t>
      </w:r>
      <w:r>
        <w:t>6</w:t>
      </w:r>
      <w:r>
        <w:rPr>
          <w:color w:val="000000"/>
        </w:rPr>
        <w:t xml:space="preserve"> kusů.</w:t>
      </w:r>
      <w:r>
        <w:rPr>
          <w:color w:val="000000"/>
        </w:rPr>
        <w:br/>
      </w:r>
      <w:r>
        <w:rPr>
          <w:b/>
          <w:color w:val="000000"/>
          <w:u w:val="single"/>
        </w:rPr>
        <w:t>M</w:t>
      </w:r>
      <w:r>
        <w:rPr>
          <w:b/>
          <w:u w:val="single"/>
        </w:rPr>
        <w:t>inimální požadavky</w:t>
      </w:r>
      <w:r>
        <w:t xml:space="preserve"> na zařízení: </w:t>
      </w:r>
      <w:r>
        <w:rPr>
          <w:b/>
        </w:rPr>
        <w:t>Procesor</w:t>
      </w:r>
      <w:r>
        <w:t xml:space="preserve"> Intel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i5</w:t>
      </w:r>
      <w:proofErr w:type="spellEnd"/>
      <w:r>
        <w:t xml:space="preserve"> 13. gen nebo AMD </w:t>
      </w:r>
      <w:proofErr w:type="spellStart"/>
      <w:r>
        <w:t>Ryzen</w:t>
      </w:r>
      <w:proofErr w:type="spellEnd"/>
      <w:r>
        <w:t xml:space="preserve"> 5 </w:t>
      </w:r>
      <w:proofErr w:type="spellStart"/>
      <w:r>
        <w:t>7000U</w:t>
      </w:r>
      <w:proofErr w:type="spellEnd"/>
      <w:r>
        <w:t xml:space="preserve"> nebo srovnatelné, </w:t>
      </w:r>
      <w:r>
        <w:rPr>
          <w:b/>
        </w:rPr>
        <w:t>Paměť</w:t>
      </w:r>
      <w:r>
        <w:t xml:space="preserve"> </w:t>
      </w:r>
      <w:r>
        <w:rPr>
          <w:b/>
        </w:rPr>
        <w:t>RAM</w:t>
      </w:r>
      <w:r>
        <w:t xml:space="preserve"> 32 GB </w:t>
      </w:r>
      <w:proofErr w:type="spellStart"/>
      <w:r>
        <w:t>DDR4</w:t>
      </w:r>
      <w:proofErr w:type="spellEnd"/>
      <w:r>
        <w:t xml:space="preserve"> nebo </w:t>
      </w:r>
      <w:proofErr w:type="spellStart"/>
      <w:r>
        <w:t>DDR5</w:t>
      </w:r>
      <w:proofErr w:type="spellEnd"/>
      <w:r>
        <w:t xml:space="preserve">, </w:t>
      </w:r>
      <w:r>
        <w:rPr>
          <w:b/>
        </w:rPr>
        <w:t>Úložiště</w:t>
      </w:r>
      <w:r>
        <w:t xml:space="preserve"> SSD 512 GB </w:t>
      </w:r>
      <w:proofErr w:type="spellStart"/>
      <w:r>
        <w:t>NVMe</w:t>
      </w:r>
      <w:proofErr w:type="spellEnd"/>
      <w:r>
        <w:t xml:space="preserve">, </w:t>
      </w:r>
      <w:r>
        <w:rPr>
          <w:b/>
        </w:rPr>
        <w:t>Displej</w:t>
      </w:r>
      <w:r>
        <w:t xml:space="preserve"> 14"–15,6", Full </w:t>
      </w:r>
      <w:proofErr w:type="gramStart"/>
      <w:r>
        <w:t>HD ,</w:t>
      </w:r>
      <w:proofErr w:type="gramEnd"/>
      <w:r>
        <w:t xml:space="preserve"> </w:t>
      </w:r>
      <w:r>
        <w:rPr>
          <w:b/>
        </w:rPr>
        <w:t>Baterie</w:t>
      </w:r>
      <w:r>
        <w:t xml:space="preserve"> Výdrž alespoň 8 hodin, </w:t>
      </w:r>
      <w:r>
        <w:rPr>
          <w:b/>
        </w:rPr>
        <w:t>Konektivita</w:t>
      </w:r>
      <w:r>
        <w:t xml:space="preserve"> Wi-Fi 6, </w:t>
      </w:r>
      <w:proofErr w:type="spellStart"/>
      <w:r>
        <w:t>5G</w:t>
      </w:r>
      <w:proofErr w:type="spellEnd"/>
      <w:r>
        <w:t>/</w:t>
      </w:r>
      <w:proofErr w:type="spellStart"/>
      <w:r>
        <w:t>LTE</w:t>
      </w:r>
      <w:proofErr w:type="spellEnd"/>
      <w:r>
        <w:t xml:space="preserve"> modem, Bluetooth </w:t>
      </w:r>
      <w:proofErr w:type="spellStart"/>
      <w:r>
        <w:t>5.x</w:t>
      </w:r>
      <w:proofErr w:type="spellEnd"/>
      <w:r>
        <w:t xml:space="preserve">, 1× HDMI, 2× USB-A, 1× USB-C, </w:t>
      </w:r>
      <w:r>
        <w:rPr>
          <w:b/>
        </w:rPr>
        <w:t>Hmotnost</w:t>
      </w:r>
      <w:r>
        <w:t xml:space="preserve"> &lt;2 kg, </w:t>
      </w:r>
      <w:r>
        <w:rPr>
          <w:b/>
        </w:rPr>
        <w:t>Operační systém</w:t>
      </w:r>
      <w:r>
        <w:t xml:space="preserve"> Windows 11, </w:t>
      </w:r>
      <w:r>
        <w:rPr>
          <w:b/>
        </w:rPr>
        <w:t>Další výbava</w:t>
      </w:r>
      <w:r>
        <w:t xml:space="preserve"> Webkamera (HD).</w:t>
      </w:r>
    </w:p>
    <w:p w14:paraId="000000AA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000000AB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t>Tablety</w:t>
      </w:r>
      <w:r>
        <w:rPr>
          <w:color w:val="000000"/>
        </w:rPr>
        <w:t xml:space="preserve"> s možností připojení k </w:t>
      </w:r>
      <w:proofErr w:type="spellStart"/>
      <w:r>
        <w:rPr>
          <w:color w:val="000000"/>
        </w:rPr>
        <w:t>5G</w:t>
      </w:r>
      <w:proofErr w:type="spellEnd"/>
      <w:r>
        <w:rPr>
          <w:color w:val="000000"/>
        </w:rPr>
        <w:t xml:space="preserve"> síti, umožňující obsluhu systému pomocí aplikace nebo webového rozhraní v minimálním počtu 1</w:t>
      </w:r>
      <w:r>
        <w:t>0</w:t>
      </w:r>
      <w:r>
        <w:rPr>
          <w:color w:val="000000"/>
        </w:rPr>
        <w:t xml:space="preserve"> kusů. </w:t>
      </w:r>
      <w:r>
        <w:rPr>
          <w:b/>
          <w:u w:val="single"/>
        </w:rPr>
        <w:t>Minimální požadavky</w:t>
      </w:r>
      <w:r>
        <w:t xml:space="preserve"> na zařízení: </w:t>
      </w:r>
      <w:r>
        <w:rPr>
          <w:b/>
        </w:rPr>
        <w:t xml:space="preserve">Procesor </w:t>
      </w:r>
      <w:proofErr w:type="spellStart"/>
      <w:r>
        <w:t>Snapdragon</w:t>
      </w:r>
      <w:proofErr w:type="spellEnd"/>
      <w:r>
        <w:t xml:space="preserve"> 7/8 nebo Apple </w:t>
      </w:r>
      <w:proofErr w:type="spellStart"/>
      <w:r>
        <w:t>M1</w:t>
      </w:r>
      <w:proofErr w:type="spellEnd"/>
      <w:r>
        <w:t>/</w:t>
      </w:r>
      <w:proofErr w:type="spellStart"/>
      <w:r>
        <w:t>M2</w:t>
      </w:r>
      <w:proofErr w:type="spellEnd"/>
      <w:r>
        <w:t xml:space="preserve"> nebo Apple </w:t>
      </w:r>
      <w:proofErr w:type="spellStart"/>
      <w:r>
        <w:t>A14</w:t>
      </w:r>
      <w:proofErr w:type="spellEnd"/>
      <w:r>
        <w:t xml:space="preserve">+ nebo srovnatelné, </w:t>
      </w:r>
      <w:r>
        <w:rPr>
          <w:b/>
        </w:rPr>
        <w:t xml:space="preserve">Paměť RAM </w:t>
      </w:r>
      <w:r>
        <w:t xml:space="preserve">6 GB, </w:t>
      </w:r>
      <w:r>
        <w:rPr>
          <w:b/>
        </w:rPr>
        <w:t>Displej</w:t>
      </w:r>
      <w:r>
        <w:t xml:space="preserve"> 10–11" Full HD, </w:t>
      </w:r>
      <w:r>
        <w:rPr>
          <w:b/>
        </w:rPr>
        <w:t>Úložiště</w:t>
      </w:r>
      <w:r>
        <w:t xml:space="preserve"> 128 GB, </w:t>
      </w:r>
      <w:r>
        <w:rPr>
          <w:b/>
        </w:rPr>
        <w:t>Baterie</w:t>
      </w:r>
      <w:r>
        <w:t xml:space="preserve"> 10 hodin terénního provozu, </w:t>
      </w:r>
      <w:r>
        <w:rPr>
          <w:b/>
        </w:rPr>
        <w:t>Konektivita</w:t>
      </w:r>
      <w:r>
        <w:t xml:space="preserve"> </w:t>
      </w:r>
      <w:proofErr w:type="spellStart"/>
      <w:r>
        <w:t>Wi-Fi6</w:t>
      </w:r>
      <w:proofErr w:type="spellEnd"/>
      <w:r>
        <w:t xml:space="preserve">, Bluetooth </w:t>
      </w:r>
      <w:proofErr w:type="spellStart"/>
      <w:r>
        <w:t>5.x</w:t>
      </w:r>
      <w:proofErr w:type="spellEnd"/>
      <w:r>
        <w:t xml:space="preserve">, integrovaný </w:t>
      </w:r>
      <w:proofErr w:type="spellStart"/>
      <w:r>
        <w:t>5G</w:t>
      </w:r>
      <w:proofErr w:type="spellEnd"/>
      <w:r>
        <w:t xml:space="preserve"> modem.</w:t>
      </w:r>
    </w:p>
    <w:p w14:paraId="000000AC" w14:textId="77777777" w:rsidR="004510EA" w:rsidRDefault="004510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14:paraId="000000AD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Mobilní telefon</w:t>
      </w:r>
      <w:r>
        <w:rPr>
          <w:color w:val="000000"/>
        </w:rPr>
        <w:t>y podporující připojení k </w:t>
      </w:r>
      <w:proofErr w:type="spellStart"/>
      <w:r>
        <w:rPr>
          <w:color w:val="000000"/>
        </w:rPr>
        <w:t>5G</w:t>
      </w:r>
      <w:proofErr w:type="spellEnd"/>
      <w:r>
        <w:rPr>
          <w:color w:val="000000"/>
        </w:rPr>
        <w:t xml:space="preserve"> síti, umožňující obsluhu systému pomocí aplikace nebo webového rozhraní v minimálním počtu </w:t>
      </w:r>
      <w:r>
        <w:t>10</w:t>
      </w:r>
      <w:r>
        <w:rPr>
          <w:color w:val="000000"/>
        </w:rPr>
        <w:t xml:space="preserve"> kusů. </w:t>
      </w:r>
      <w:r>
        <w:rPr>
          <w:b/>
          <w:color w:val="000000"/>
          <w:u w:val="single"/>
        </w:rPr>
        <w:t>Minimální požadavky</w:t>
      </w:r>
      <w:r>
        <w:rPr>
          <w:color w:val="000000"/>
        </w:rPr>
        <w:t xml:space="preserve"> na zařízení: </w:t>
      </w:r>
      <w:r>
        <w:rPr>
          <w:b/>
        </w:rPr>
        <w:t>Datum vydání</w:t>
      </w:r>
      <w:r>
        <w:t xml:space="preserve"> </w:t>
      </w:r>
      <w:proofErr w:type="spellStart"/>
      <w:r>
        <w:t>Q3</w:t>
      </w:r>
      <w:proofErr w:type="spellEnd"/>
      <w:r>
        <w:t xml:space="preserve"> 2024 a novější, </w:t>
      </w:r>
      <w:r>
        <w:rPr>
          <w:b/>
        </w:rPr>
        <w:t xml:space="preserve">Paměť RAM </w:t>
      </w:r>
      <w:r>
        <w:t xml:space="preserve">6 GB, </w:t>
      </w:r>
      <w:r>
        <w:rPr>
          <w:b/>
        </w:rPr>
        <w:t>Displej</w:t>
      </w:r>
      <w:r>
        <w:t xml:space="preserve"> minimálně 6,7“ Full HD, </w:t>
      </w:r>
      <w:r>
        <w:rPr>
          <w:b/>
        </w:rPr>
        <w:t>Úložiště</w:t>
      </w:r>
      <w:r>
        <w:t xml:space="preserve"> 128 GB, </w:t>
      </w:r>
      <w:r>
        <w:rPr>
          <w:b/>
        </w:rPr>
        <w:t>Baterie</w:t>
      </w:r>
      <w:r>
        <w:t xml:space="preserve"> Celodenní výdrž (minimálně </w:t>
      </w:r>
      <w:proofErr w:type="spellStart"/>
      <w:proofErr w:type="gramStart"/>
      <w:r>
        <w:t>24h</w:t>
      </w:r>
      <w:proofErr w:type="spellEnd"/>
      <w:proofErr w:type="gramEnd"/>
      <w:r>
        <w:t xml:space="preserve">), </w:t>
      </w:r>
      <w:r>
        <w:rPr>
          <w:b/>
        </w:rPr>
        <w:t>Konektivita</w:t>
      </w:r>
      <w:r>
        <w:t xml:space="preserve"> </w:t>
      </w:r>
      <w:proofErr w:type="spellStart"/>
      <w:r>
        <w:t>Wi-Fi6</w:t>
      </w:r>
      <w:proofErr w:type="spellEnd"/>
      <w:r>
        <w:t xml:space="preserve">, Bluetooth </w:t>
      </w:r>
      <w:proofErr w:type="spellStart"/>
      <w:r>
        <w:t>5.x</w:t>
      </w:r>
      <w:proofErr w:type="spellEnd"/>
      <w:r>
        <w:t xml:space="preserve">, integrovaný </w:t>
      </w:r>
      <w:proofErr w:type="spellStart"/>
      <w:r>
        <w:t>5G</w:t>
      </w:r>
      <w:proofErr w:type="spellEnd"/>
      <w:r>
        <w:t xml:space="preserve"> modem.</w:t>
      </w:r>
    </w:p>
    <w:p w14:paraId="000000AE" w14:textId="77777777" w:rsidR="004510EA" w:rsidRDefault="00D83E0D">
      <w:pPr>
        <w:jc w:val="both"/>
      </w:pPr>
      <w:r>
        <w:t xml:space="preserve">Pro rychlou identifikaci klienta bude dále dodáno dostatečné množství (nejméně 160 kusů) </w:t>
      </w:r>
      <w:r>
        <w:rPr>
          <w:b/>
        </w:rPr>
        <w:t>identifikačních štítků</w:t>
      </w:r>
      <w:r>
        <w:t xml:space="preserve">, majících podobu </w:t>
      </w:r>
      <w:r>
        <w:rPr>
          <w:b/>
        </w:rPr>
        <w:t xml:space="preserve">QR tagů, </w:t>
      </w:r>
      <w:proofErr w:type="spellStart"/>
      <w:r>
        <w:rPr>
          <w:b/>
        </w:rPr>
        <w:t>NFC</w:t>
      </w:r>
      <w:proofErr w:type="spellEnd"/>
      <w:r>
        <w:rPr>
          <w:b/>
        </w:rPr>
        <w:t xml:space="preserve"> tagů nebo jejich kombinace</w:t>
      </w:r>
      <w:r>
        <w:t xml:space="preserve">, umožňujících umístění na oblečení, stěnu nebo vybavení pokoje. </w:t>
      </w:r>
    </w:p>
    <w:p w14:paraId="000000AF" w14:textId="77777777" w:rsidR="004510EA" w:rsidRDefault="00D83E0D">
      <w:pPr>
        <w:pStyle w:val="Nadpis2"/>
        <w:jc w:val="both"/>
      </w:pPr>
      <w:r>
        <w:t>2.2 Požadavky na napájení a výdrž</w:t>
      </w:r>
    </w:p>
    <w:p w14:paraId="000000B0" w14:textId="77777777" w:rsidR="004510EA" w:rsidRDefault="00D83E0D">
      <w:pPr>
        <w:jc w:val="both"/>
      </w:pPr>
      <w:r>
        <w:rPr>
          <w:b/>
        </w:rPr>
        <w:t>Diagnostické sestavy</w:t>
      </w:r>
      <w:r>
        <w:t xml:space="preserve"> musí umožňovat použití mimo dostupnost elektrické sítě, tzn. že všechny dílčí zařízení musí být napájeny z elektrochemických zdrojů (baterií nebo akumulátorů) a umožňovat jejich </w:t>
      </w:r>
      <w:r>
        <w:rPr>
          <w:b/>
        </w:rPr>
        <w:t>snadnou výměnu nebo nabíjení</w:t>
      </w:r>
      <w:r>
        <w:t>. Kapacita použitých zdrojů musí umožňovat celodenní používání, plné dobití akumulátorů nesmí trvat déle než 3 hodiny. Zařízení musí umožňovat snadné nabíjení pomocí standardních konektorů (USB-C), případně indukčního nabíjení.  V případě použití baterií musí být jejich výměna možná bez speciálního nářadí. Uživatelské rozhraní musí indikovat stav nabití a upozornit na potřebu dobití či výměny baterie.</w:t>
      </w:r>
    </w:p>
    <w:p w14:paraId="000000B1" w14:textId="77777777" w:rsidR="004510EA" w:rsidRDefault="00D83E0D">
      <w:pPr>
        <w:pStyle w:val="Nadpis2"/>
        <w:jc w:val="both"/>
      </w:pPr>
      <w:r>
        <w:t>2.4 Softwarové komponenty</w:t>
      </w:r>
    </w:p>
    <w:p w14:paraId="000000B2" w14:textId="77777777" w:rsidR="004510EA" w:rsidRDefault="00D83E0D">
      <w:pPr>
        <w:jc w:val="both"/>
      </w:pPr>
      <w:r>
        <w:t>Softwarová platforma tvoří páteř systému, zajišťuje sběr, vyhodnocení, vizualizaci a sdílení zdravotních dat z jednotlivých zařízení. Musí být modulární a škálovatelná, aby umožnila budoucí rozšíření. Klíčovým požadavkem je její</w:t>
      </w:r>
      <w:r>
        <w:rPr>
          <w:b/>
        </w:rPr>
        <w:t xml:space="preserve"> provozní spolehlivost, bezpečnost a přehlednost</w:t>
      </w:r>
      <w:r>
        <w:t xml:space="preserve"> pro různé typy uživatelů      zdravotnického. </w:t>
      </w:r>
    </w:p>
    <w:p w14:paraId="000000B3" w14:textId="5EF54642" w:rsidR="004510EA" w:rsidRDefault="00D83E0D">
      <w:pPr>
        <w:jc w:val="both"/>
      </w:pPr>
      <w:r>
        <w:t xml:space="preserve">Klíčovým požadavkem je </w:t>
      </w:r>
      <w:r>
        <w:rPr>
          <w:b/>
        </w:rPr>
        <w:t xml:space="preserve">plná kompatibilita se systémem </w:t>
      </w:r>
      <w:proofErr w:type="spellStart"/>
      <w:r>
        <w:rPr>
          <w:b/>
        </w:rPr>
        <w:t>Cygnus</w:t>
      </w:r>
      <w:proofErr w:type="spellEnd"/>
      <w:r w:rsidR="009755CC">
        <w:rPr>
          <w:b/>
        </w:rPr>
        <w:t xml:space="preserve"> 2</w:t>
      </w:r>
      <w:r>
        <w:t xml:space="preserve">, který je využíván v sociálním zařízení. Systém musí umožňovat obousměrnou synchronizaci dat. Systém musí poskytovat </w:t>
      </w:r>
      <w:r>
        <w:rPr>
          <w:b/>
        </w:rPr>
        <w:t xml:space="preserve">intuitivní a přehledné uživatelské rozhraní </w:t>
      </w:r>
      <w:r>
        <w:t>určené pro zdravotnický personál, které umožní snadnou orientaci a efektivní práci s daty pacientů. Webová aplikace bude dostupná prostřednictvím standardních webových prohlížečů a musí být optimalizována pro stolní počítače i tablety, kde je umožněna i nativní mobilní aplikace</w:t>
      </w:r>
      <w:proofErr w:type="gramStart"/>
      <w:r>
        <w:t xml:space="preserve"> ..</w:t>
      </w:r>
      <w:proofErr w:type="gramEnd"/>
      <w:r>
        <w:t xml:space="preserve"> Práce s aplikací bude dostupná v případě výpadku </w:t>
      </w:r>
      <w:proofErr w:type="spellStart"/>
      <w:r>
        <w:t>5G</w:t>
      </w:r>
      <w:proofErr w:type="spellEnd"/>
      <w:r>
        <w:t>/</w:t>
      </w:r>
      <w:proofErr w:type="spellStart"/>
      <w:r>
        <w:t>WiFi</w:t>
      </w:r>
      <w:proofErr w:type="spellEnd"/>
      <w:r>
        <w:t xml:space="preserve"> sítě, systém následně provede synchronizaci dat automaticky při obnovení připojení. </w:t>
      </w:r>
    </w:p>
    <w:p w14:paraId="000000B4" w14:textId="77777777" w:rsidR="004510EA" w:rsidRDefault="00D83E0D">
      <w:pPr>
        <w:pStyle w:val="Nadpis1"/>
      </w:pPr>
      <w:r>
        <w:lastRenderedPageBreak/>
        <w:t>3. Bezpečnost a ochrana osobních údajů</w:t>
      </w:r>
    </w:p>
    <w:p w14:paraId="000000B5" w14:textId="77777777" w:rsidR="004510EA" w:rsidRDefault="00D83E0D">
      <w:pPr>
        <w:jc w:val="both"/>
      </w:pPr>
      <w:r>
        <w:t xml:space="preserve">Součástí dodávky je povinnost zajistit odpovídající úroveň ochrany osobních údajů. Cílem tohoto je zajištění prevence proti ztrátě, zneužití či zničení dat, neoprávněnému přístupu jako i dalších povinností v souladu s platnými právními předpisy, zejména nařízením Evropského parlamentu a Rady (EU) 2016/679 (GDPR) a dalšími právními normami, zabývajícími se ochranou osobních údajů a zdravotních dat. </w:t>
      </w:r>
      <w:sdt>
        <w:sdtPr>
          <w:tag w:val="goog_rdk_8"/>
          <w:id w:val="597052906"/>
        </w:sdtPr>
        <w:sdtEndPr/>
        <w:sdtContent/>
      </w:sdt>
      <w:r>
        <w:t>Systém a jeho komponenty musí být navrženy tak, aby odpovídaly požadavkům zákona č.</w:t>
      </w:r>
      <w:sdt>
        <w:sdtPr>
          <w:tag w:val="goog_rdk_9"/>
          <w:id w:val="-2137256271"/>
        </w:sdtPr>
        <w:sdtEndPr/>
        <w:sdtContent>
          <w:r>
            <w:t> </w:t>
          </w:r>
        </w:sdtContent>
      </w:sdt>
      <w:r>
        <w:t xml:space="preserve">181/2014 Sb., o kybernetické bezpečnosti, a reflektovaly očekávané požadavky vyplývající ze směrnice </w:t>
      </w:r>
      <w:proofErr w:type="spellStart"/>
      <w:r>
        <w:t>NIS2</w:t>
      </w:r>
      <w:proofErr w:type="spellEnd"/>
      <w:sdt>
        <w:sdtPr>
          <w:tag w:val="goog_rdk_10"/>
          <w:id w:val="227248813"/>
        </w:sdtPr>
        <w:sdtEndPr/>
        <w:sdtContent>
          <w:r>
            <w:t xml:space="preserve"> a dalších obecně závazných předpisů, které budou upravovat kybernetickou bezpečnost v době realizace plnění veřejné zakázky, zejména zákona č. 264/2025 Sb., o kybernetické bezpečnosti</w:t>
          </w:r>
        </w:sdtContent>
      </w:sdt>
      <w:r>
        <w:t xml:space="preserve">.     </w:t>
      </w:r>
    </w:p>
    <w:p w14:paraId="000000B6" w14:textId="77777777" w:rsidR="004510EA" w:rsidRDefault="00D83E0D">
      <w:pPr>
        <w:pStyle w:val="Nadpis1"/>
        <w:jc w:val="both"/>
      </w:pPr>
      <w:r>
        <w:t>4. Interoperabilita</w:t>
      </w:r>
    </w:p>
    <w:p w14:paraId="000000B7" w14:textId="77777777" w:rsidR="004510EA" w:rsidRDefault="00D83E0D">
      <w:pPr>
        <w:jc w:val="both"/>
      </w:pPr>
      <w:r>
        <w:t xml:space="preserve">Datová komunikace u dodávaného systému zahrnuje výměnu dat, jako jsou informace o klientovi, jeho zdravotním stavu, diagnostická data nebo výsledky měření. Pro efektivní spolupráci s existujícími systémy je tak nutné zajistit interoperabilitu a umožnit i flexibilní integraci budoucích zařízení a technologií. Systém bude napojen na systém </w:t>
      </w:r>
      <w:proofErr w:type="spellStart"/>
      <w:r>
        <w:t>eZprávy</w:t>
      </w:r>
      <w:proofErr w:type="spellEnd"/>
      <w:r>
        <w:t xml:space="preserve"> nebo podobný odpovídající systém.</w:t>
      </w:r>
    </w:p>
    <w:p w14:paraId="000000B8" w14:textId="77777777" w:rsidR="004510EA" w:rsidRDefault="00D83E0D">
      <w:pPr>
        <w:pStyle w:val="Nadpis2"/>
        <w:jc w:val="both"/>
      </w:pPr>
      <w:r>
        <w:t>4.1 Komunikační standardy</w:t>
      </w:r>
    </w:p>
    <w:p w14:paraId="000000B9" w14:textId="77777777" w:rsidR="004510EA" w:rsidRDefault="00D83E0D">
      <w:pPr>
        <w:jc w:val="both"/>
      </w:pPr>
      <w:r>
        <w:t>Dodavatel je povinen zajistit, že dodávaný systém bude plně kompatibilní s následujícími standardy pro zajištění výměny dat mezi zařízeními a systémy:</w:t>
      </w:r>
    </w:p>
    <w:p w14:paraId="000000BA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b/>
          <w:color w:val="000000"/>
        </w:rPr>
        <w:t>HL7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FHIR</w:t>
      </w:r>
      <w:proofErr w:type="spellEnd"/>
      <w:r>
        <w:rPr>
          <w:color w:val="000000"/>
        </w:rPr>
        <w:t xml:space="preserve"> pro přenos zdravotních informací mezi systémy, až bude k dispozici a bude implementován v rámci národního systému.</w:t>
      </w:r>
    </w:p>
    <w:p w14:paraId="000000BB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b/>
          <w:color w:val="000000"/>
        </w:rPr>
        <w:t>DASTA</w:t>
      </w:r>
      <w:proofErr w:type="spellEnd"/>
      <w:r>
        <w:rPr>
          <w:color w:val="000000"/>
        </w:rPr>
        <w:t xml:space="preserve"> pro výměnu dat mezi českými zdravotnickými zařízeními a informačními systémy.</w:t>
      </w:r>
    </w:p>
    <w:p w14:paraId="000000BC" w14:textId="77777777" w:rsidR="004510EA" w:rsidRDefault="00D83E0D">
      <w:pPr>
        <w:jc w:val="both"/>
      </w:pPr>
      <w:r>
        <w:t>Systém musí zajišťovat plnou podporu těchto standardů, aby bylo možné bezproblémově sdílet a integrovat data mezi různými systémy a zařízeními. Dodavatel je povinen zajistit, že všechny komunikační protokoly a standardy budou plně implementovány a budou splňovat všechny platné právní předpisy, včetně zákona č. 325/2021 Sb. o elektronizaci zdravotnictví.</w:t>
      </w:r>
    </w:p>
    <w:p w14:paraId="000000BD" w14:textId="77777777" w:rsidR="004510EA" w:rsidRDefault="00D83E0D">
      <w:pPr>
        <w:pStyle w:val="Nadpis2"/>
        <w:jc w:val="both"/>
      </w:pPr>
      <w:r>
        <w:t>4.2 Integrace s existujícími systémy</w:t>
      </w:r>
    </w:p>
    <w:p w14:paraId="000000BE" w14:textId="77807C18" w:rsidR="004510EA" w:rsidRDefault="00D83E0D">
      <w:pPr>
        <w:jc w:val="both"/>
      </w:pPr>
      <w:r>
        <w:t xml:space="preserve">Systém musí být navržen tak, aby umožnil integraci s již existujícími informačními systémy, zejména s informačním systémem </w:t>
      </w:r>
      <w:proofErr w:type="spellStart"/>
      <w:r>
        <w:rPr>
          <w:b/>
        </w:rPr>
        <w:t>Cygnus</w:t>
      </w:r>
      <w:proofErr w:type="spellEnd"/>
      <w:r w:rsidR="009755CC">
        <w:rPr>
          <w:b/>
        </w:rPr>
        <w:t xml:space="preserve"> 2</w:t>
      </w:r>
      <w:r>
        <w:t xml:space="preserve">. Tato integrace musí zajistit bezproblémovou výměnu dat, jako jsou zdravotní záznamy pacientů a výsledky vyšetření v rámci překladové zprávy, uživatele z řad zdravotnického personálu a další relevantní informace. Při zajišťování interoperability je nezbytné mít na paměti ochranu osobních údajů a citlivých zdravotních informací. Všechny systémy a zařízení, které budou integrovány do tohoto řešení, musí splňovat vysoké bezpečnostní standardy, včetně </w:t>
      </w:r>
      <w:r>
        <w:rPr>
          <w:b/>
        </w:rPr>
        <w:t>šifrování dat</w:t>
      </w:r>
      <w:r>
        <w:t xml:space="preserve"> při přenosu i při uložení, </w:t>
      </w:r>
      <w:r>
        <w:rPr>
          <w:b/>
        </w:rPr>
        <w:t>autentizace</w:t>
      </w:r>
      <w:r>
        <w:t xml:space="preserve"> a </w:t>
      </w:r>
      <w:r>
        <w:rPr>
          <w:b/>
        </w:rPr>
        <w:t>autorizace</w:t>
      </w:r>
      <w:r>
        <w:t xml:space="preserve"> uživatelů a zařízení. Dále musí být zajištěno, že integrace mezi systémy bude bezpečná, a to jak z hlediska ochrany dat, tak i z hlediska prevenci před neoprávněným přístupem. Dodavatel musí zajistit, že platforma poskytne otevřené a dokumentované </w:t>
      </w:r>
      <w:proofErr w:type="spellStart"/>
      <w:r>
        <w:t>RESTful</w:t>
      </w:r>
      <w:proofErr w:type="spellEnd"/>
      <w:r>
        <w:t xml:space="preserve"> API umožňující přístup k datům, jejich export i integraci s externími systémy třetích stran, včetně budoucích rozšíření. Softwarová platforma a </w:t>
      </w:r>
      <w:proofErr w:type="spellStart"/>
      <w:r>
        <w:t>gateway</w:t>
      </w:r>
      <w:proofErr w:type="spellEnd"/>
      <w:r>
        <w:t xml:space="preserve"> musí </w:t>
      </w:r>
      <w:r>
        <w:rPr>
          <w:b/>
        </w:rPr>
        <w:t xml:space="preserve">být otevřené pro integraci dosud neurčených zařízení </w:t>
      </w:r>
      <w:r>
        <w:t>pomocí adaptérů nebo standardizovaného API.</w:t>
      </w:r>
    </w:p>
    <w:p w14:paraId="000000BF" w14:textId="77777777" w:rsidR="004510EA" w:rsidRDefault="00D83E0D">
      <w:pPr>
        <w:pStyle w:val="Nadpis1"/>
        <w:jc w:val="both"/>
      </w:pPr>
      <w:bookmarkStart w:id="1" w:name="_heading=h.9uqgby5wuedg" w:colFirst="0" w:colLast="0"/>
      <w:bookmarkEnd w:id="1"/>
      <w:r>
        <w:t>5. Studie proveditelnosti</w:t>
      </w:r>
    </w:p>
    <w:p w14:paraId="000000C0" w14:textId="77777777" w:rsidR="004510EA" w:rsidRDefault="00D83E0D">
      <w:pPr>
        <w:jc w:val="both"/>
      </w:pPr>
      <w:r>
        <w:t xml:space="preserve">V sociální službě bude provedena studie proveditelnosti vybraným dodavatelem v oblasti zajištění ošetřujících úkonů a potenciálu využití telemedicínského řešení. </w:t>
      </w:r>
    </w:p>
    <w:p w14:paraId="000000C1" w14:textId="77777777" w:rsidR="004510EA" w:rsidRDefault="00D83E0D">
      <w:pPr>
        <w:jc w:val="both"/>
        <w:rPr>
          <w:b/>
        </w:rPr>
      </w:pPr>
      <w:r>
        <w:rPr>
          <w:b/>
        </w:rPr>
        <w:lastRenderedPageBreak/>
        <w:t xml:space="preserve">Cílová skupina studie: </w:t>
      </w:r>
    </w:p>
    <w:p w14:paraId="000000C2" w14:textId="77777777" w:rsidR="004510EA" w:rsidRDefault="00D83E0D">
      <w:pPr>
        <w:numPr>
          <w:ilvl w:val="0"/>
          <w:numId w:val="1"/>
        </w:numPr>
        <w:spacing w:after="0"/>
        <w:jc w:val="both"/>
      </w:pPr>
      <w:r>
        <w:t>Uživatelé pobytové sociální služby s vyšší mírou podpory.</w:t>
      </w:r>
    </w:p>
    <w:p w14:paraId="000000C3" w14:textId="77777777" w:rsidR="004510EA" w:rsidRDefault="00D83E0D">
      <w:pPr>
        <w:numPr>
          <w:ilvl w:val="0"/>
          <w:numId w:val="1"/>
        </w:numPr>
        <w:spacing w:after="0"/>
        <w:jc w:val="both"/>
      </w:pPr>
      <w:r>
        <w:t>Všeobecné sestry, které mj. sledují a orientačně hodnotí fyziologické funkce uživatelů a další tělesné parametry za použití zdravotnických prostředků.</w:t>
      </w:r>
    </w:p>
    <w:p w14:paraId="000000C4" w14:textId="77777777" w:rsidR="004510EA" w:rsidRDefault="00D83E0D">
      <w:pPr>
        <w:numPr>
          <w:ilvl w:val="0"/>
          <w:numId w:val="1"/>
        </w:numPr>
        <w:spacing w:after="0"/>
        <w:jc w:val="both"/>
      </w:pPr>
      <w:r>
        <w:t>Všeobecný praktický lékař</w:t>
      </w:r>
    </w:p>
    <w:p w14:paraId="000000C5" w14:textId="77777777" w:rsidR="004510EA" w:rsidRDefault="00D83E0D">
      <w:pPr>
        <w:numPr>
          <w:ilvl w:val="0"/>
          <w:numId w:val="1"/>
        </w:numPr>
        <w:jc w:val="both"/>
      </w:pPr>
      <w:r>
        <w:t>Management sociální služby</w:t>
      </w:r>
    </w:p>
    <w:p w14:paraId="000000C6" w14:textId="77777777" w:rsidR="004510EA" w:rsidRDefault="00D83E0D">
      <w:pPr>
        <w:jc w:val="both"/>
      </w:pPr>
      <w:r>
        <w:t xml:space="preserve">Cílem studie bude popsat strukturu a proces zajištění ošetřovatelské péče s návrhy její digitalizace a zefektivnění. Dále bude zavedena metodika pro využití telemedicínských služeb. Navrhované řešení bude zaměřeno na zefektivnění práce ošetřujícího personálu, propojení a spolupráce s externím praktickým lékařem a operabilitu vnitřních systémů. Následně bude systém dle této analýzy </w:t>
      </w:r>
      <w:proofErr w:type="spellStart"/>
      <w:r>
        <w:t>kastomizován</w:t>
      </w:r>
      <w:proofErr w:type="spellEnd"/>
      <w:r>
        <w:t xml:space="preserve"> a implementován do prostředí Zadavatele.</w:t>
      </w:r>
    </w:p>
    <w:p w14:paraId="000000C7" w14:textId="77777777" w:rsidR="004510EA" w:rsidRDefault="00D83E0D">
      <w:pPr>
        <w:pStyle w:val="Nadpis1"/>
        <w:jc w:val="both"/>
      </w:pPr>
      <w:r>
        <w:t>6. Školení a podpora personálu</w:t>
      </w:r>
    </w:p>
    <w:p w14:paraId="000000C8" w14:textId="77777777" w:rsidR="004510EA" w:rsidRDefault="00D83E0D">
      <w:pPr>
        <w:jc w:val="both"/>
      </w:pPr>
      <w:r>
        <w:t>Dodavatel je povinen zajistit komplexní školení vybraných pracovníků zadavatele v oblasti obsluhy, zavádění a etického využívání dodaného telemedicínského systému. Školení musí být realizováno před zahájením plného provozu systému a přizpůsobeno konkrétním rolím školených pracovníků.</w:t>
      </w:r>
    </w:p>
    <w:p w14:paraId="000000C9" w14:textId="77777777" w:rsidR="004510EA" w:rsidRDefault="00D83E0D">
      <w:pPr>
        <w:jc w:val="both"/>
      </w:pPr>
      <w:r>
        <w:t>Školení bude členěno do tří základních oblastí:</w:t>
      </w:r>
    </w:p>
    <w:p w14:paraId="000000CA" w14:textId="77777777" w:rsidR="004510EA" w:rsidRDefault="00D83E0D">
      <w:pPr>
        <w:pStyle w:val="Nadpis2"/>
        <w:jc w:val="both"/>
      </w:pPr>
      <w:r>
        <w:t>6.1 Obsluha systému a zařízení</w:t>
      </w:r>
    </w:p>
    <w:p w14:paraId="000000CB" w14:textId="77777777" w:rsidR="004510EA" w:rsidRDefault="00D83E0D">
      <w:pPr>
        <w:jc w:val="both"/>
      </w:pPr>
      <w:r>
        <w:t>Tato část školení se zaměřuje na praktické zvládnutí práce s diagnostickými a monitorovacími zařízeními, a softwarovou platformou a jejími rozhraními (webová i mobilní aplikace). Školení zahrnuje:</w:t>
      </w:r>
    </w:p>
    <w:p w14:paraId="000000CC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přehled funkcí a ovládání jednotlivých zařízení,</w:t>
      </w:r>
    </w:p>
    <w:p w14:paraId="000000CD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správu uživatelských účtů, přiřazování zařízení a interpretaci dat,</w:t>
      </w:r>
    </w:p>
    <w:p w14:paraId="000000CE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bezpečnou manipulaci s daty v souladu s pravidly GDPR,</w:t>
      </w:r>
    </w:p>
    <w:p w14:paraId="000000CF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základní řešení problémů a orientaci v uživatelských manuálech.</w:t>
      </w:r>
    </w:p>
    <w:p w14:paraId="000000D0" w14:textId="77777777" w:rsidR="004510EA" w:rsidRDefault="00D83E0D">
      <w:pPr>
        <w:pStyle w:val="Nadpis2"/>
        <w:jc w:val="both"/>
      </w:pPr>
      <w:r>
        <w:t>6.2 Etické a metodické aspekty využívání telemedicíny</w:t>
      </w:r>
    </w:p>
    <w:p w14:paraId="000000D1" w14:textId="77777777" w:rsidR="004510EA" w:rsidRDefault="00D83E0D">
      <w:pPr>
        <w:jc w:val="both"/>
      </w:pPr>
      <w:r>
        <w:t>Součástí školení bude výklad základních etických zásad při využívání digitálních technologií v péči o osoby s omezenou soběstačností, s důrazem na:</w:t>
      </w:r>
    </w:p>
    <w:p w14:paraId="000000D2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respektování autonomie a soukromí klientů,</w:t>
      </w:r>
    </w:p>
    <w:p w14:paraId="000000D3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komunikaci s klientem a informovaný souhlas,</w:t>
      </w:r>
    </w:p>
    <w:p w14:paraId="000000D4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specifika práce s klienty s kognitivním postižením,</w:t>
      </w:r>
    </w:p>
    <w:p w14:paraId="000000D5" w14:textId="77777777" w:rsidR="004510EA" w:rsidRDefault="00D83E0D">
      <w:pPr>
        <w:pStyle w:val="Nadpis2"/>
        <w:jc w:val="both"/>
      </w:pPr>
      <w:r>
        <w:t>6.3 Zavedení systému do interních standardů kvality</w:t>
      </w:r>
    </w:p>
    <w:p w14:paraId="000000D6" w14:textId="77777777" w:rsidR="004510EA" w:rsidRDefault="00D83E0D">
      <w:pPr>
        <w:jc w:val="both"/>
      </w:pPr>
      <w:r>
        <w:t>Třetí část školení bude zaměřena na začlenění telemedicínských prvků do provozních standardů organizace. výstupy této části školení budou využity k aktualizaci interních směrnic a standardů kvality. Cílem je pomoci metodikům a vedoucím pracovníkům definovat interní pravidla a pracovní postupy v oblastech:</w:t>
      </w:r>
    </w:p>
    <w:p w14:paraId="000000D7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záznamů v ošetřovatelské dokumentaci,</w:t>
      </w:r>
    </w:p>
    <w:p w14:paraId="000000D8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návaznosti na plán péče a zdravotní úkony,</w:t>
      </w:r>
    </w:p>
    <w:p w14:paraId="000000D9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správy přístupových oprávnění a odpovědností,</w:t>
      </w:r>
    </w:p>
    <w:p w14:paraId="000000DA" w14:textId="77777777" w:rsidR="004510EA" w:rsidRDefault="00D83E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začlenění systému do kontrolních a evaluačních mechanismů.</w:t>
      </w:r>
    </w:p>
    <w:p w14:paraId="000000DB" w14:textId="77777777" w:rsidR="004510EA" w:rsidRDefault="00D83E0D">
      <w:pPr>
        <w:jc w:val="both"/>
      </w:pPr>
      <w:r>
        <w:lastRenderedPageBreak/>
        <w:t xml:space="preserve">Školení proběhne prezenčně v prostorách zadavatele a bude obsahovat </w:t>
      </w:r>
      <w:r>
        <w:rPr>
          <w:b/>
        </w:rPr>
        <w:t>praktické ukázky práce se systémem</w:t>
      </w:r>
      <w:r>
        <w:t>. Součástí dodávky musí být rovněž přehledné metodické materiály (v tištěné i digitální podobě) a záznam školení v audiovizuální formě.</w:t>
      </w:r>
    </w:p>
    <w:p w14:paraId="000000DC" w14:textId="77777777" w:rsidR="004510EA" w:rsidRDefault="00D83E0D">
      <w:pPr>
        <w:jc w:val="both"/>
      </w:pPr>
      <w:r>
        <w:t xml:space="preserve">Dodavatel vyškolí </w:t>
      </w:r>
      <w:r>
        <w:rPr>
          <w:b/>
        </w:rPr>
        <w:t>minimálně 20 pracovníků</w:t>
      </w:r>
      <w:r>
        <w:t>, včetně vedoucích pracovníků jednotlivých služeb, všeobecných sester, pracovníků přímé péče, metodiků a praktických lékařů.</w:t>
      </w:r>
    </w:p>
    <w:p w14:paraId="000000DD" w14:textId="77777777" w:rsidR="004510EA" w:rsidRDefault="00D83E0D">
      <w:pPr>
        <w:jc w:val="both"/>
      </w:pPr>
      <w:r>
        <w:t>Zadavatel si vyhrazuje právo vyžádat si doplňkové školení při aktualizaci systému nebo při nástupu nového klíčového personálu.</w:t>
      </w:r>
    </w:p>
    <w:p w14:paraId="000000DE" w14:textId="77777777" w:rsidR="004510EA" w:rsidRDefault="00D83E0D">
      <w:pPr>
        <w:pStyle w:val="Nadpis1"/>
        <w:jc w:val="both"/>
      </w:pPr>
      <w:bookmarkStart w:id="2" w:name="_heading=h.wuwn0wu2nz62" w:colFirst="0" w:colLast="0"/>
      <w:bookmarkEnd w:id="2"/>
      <w:r>
        <w:t>7. Monitoring a hodnocení</w:t>
      </w:r>
    </w:p>
    <w:p w14:paraId="000000DF" w14:textId="77777777" w:rsidR="004510EA" w:rsidRDefault="00D83E0D">
      <w:pPr>
        <w:jc w:val="both"/>
      </w:pPr>
      <w:r>
        <w:t xml:space="preserve">V rámci úvodní analýzy budou stanoveny hodnotící mechanismy a ty následně sledovány. </w:t>
      </w:r>
    </w:p>
    <w:p w14:paraId="000000E0" w14:textId="77777777" w:rsidR="004510EA" w:rsidRDefault="00D83E0D">
      <w:pPr>
        <w:jc w:val="both"/>
      </w:pPr>
      <w:r>
        <w:t>Sledováno bude minimálně zefektivnění práce ošetřujícího personálu, propojení a spolupráce s externím praktickým lékařem, operabilita vnitřních systémů, spokojenost klientů a personálu.</w:t>
      </w:r>
    </w:p>
    <w:p w14:paraId="000000E1" w14:textId="77777777" w:rsidR="004510EA" w:rsidRDefault="00D83E0D">
      <w:pPr>
        <w:jc w:val="both"/>
      </w:pPr>
      <w:r>
        <w:t>Bude předložena vstupní a závěrečná zpráva, která bude obsahovat dále i monitorování v rámci průběhu prací, školení.</w:t>
      </w:r>
    </w:p>
    <w:p w14:paraId="000000E2" w14:textId="77777777" w:rsidR="004510EA" w:rsidRDefault="00D83E0D">
      <w:pPr>
        <w:pStyle w:val="Nadpis1"/>
        <w:jc w:val="both"/>
      </w:pPr>
      <w:r>
        <w:t>8. Závěr</w:t>
      </w:r>
    </w:p>
    <w:p w14:paraId="000000E3" w14:textId="1B6E1550" w:rsidR="004510EA" w:rsidRDefault="00D83E0D">
      <w:pPr>
        <w:jc w:val="both"/>
      </w:pPr>
      <w:r>
        <w:t xml:space="preserve">Tento dokument definuje požadavky na dodávku komplexního </w:t>
      </w:r>
      <w:proofErr w:type="spellStart"/>
      <w:r>
        <w:t>5G</w:t>
      </w:r>
      <w:proofErr w:type="spellEnd"/>
      <w:r>
        <w:t xml:space="preserve"> telemedicínského systému, jehož cílem je zajištění bezpečné, efektivní a moderní péče o klienty pobytových sociálních služeb. Důraz je kladen na interoperabilitu, uživatelskou přívětivost, ochranu citlivých údajů a vysokou provozní spolehlivost systému. Systém musí být navržen tak, aby odpovídal provozním podmínkám organizace, reflektoval potřeby zdravotnického i sociálního personálu a byl dlouhodobě udržitelný z hlediska správy i rozšiřování. Očekává se, že výsledné řešení bude plně </w:t>
      </w:r>
      <w:proofErr w:type="spellStart"/>
      <w:r>
        <w:t>integrovatelné</w:t>
      </w:r>
      <w:proofErr w:type="spellEnd"/>
      <w:r>
        <w:t xml:space="preserve"> s existující infrastrukturou, zejména s informačním systémem </w:t>
      </w:r>
      <w:proofErr w:type="spellStart"/>
      <w:r>
        <w:t>Cygnus</w:t>
      </w:r>
      <w:proofErr w:type="spellEnd"/>
      <w:r w:rsidR="009755CC">
        <w:t xml:space="preserve"> 2</w:t>
      </w:r>
      <w:r>
        <w:t>, a že bude splňovat všechny příslušné právní a technické normy včetně požadavků na zdravotnická zařízení a kybernetickou bezpečnost.</w:t>
      </w:r>
    </w:p>
    <w:p w14:paraId="000000E4" w14:textId="77777777" w:rsidR="004510EA" w:rsidRDefault="004510EA">
      <w:pPr>
        <w:jc w:val="both"/>
      </w:pPr>
    </w:p>
    <w:sectPr w:rsidR="004510E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DD20A" w14:textId="77777777" w:rsidR="00D83E0D" w:rsidRDefault="00D83E0D">
      <w:pPr>
        <w:spacing w:after="0" w:line="240" w:lineRule="auto"/>
      </w:pPr>
      <w:r>
        <w:separator/>
      </w:r>
    </w:p>
  </w:endnote>
  <w:endnote w:type="continuationSeparator" w:id="0">
    <w:p w14:paraId="706A336E" w14:textId="77777777" w:rsidR="00D83E0D" w:rsidRDefault="00D8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2E193ED-A226-4C77-B223-E476F47C4CD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A90BB51-0AA4-4FD9-9005-8061914E0787}"/>
    <w:embedBold r:id="rId3" w:fontKey="{9624F0DB-5384-4614-8EB5-2907DD3F3D28}"/>
    <w:embedItalic r:id="rId4" w:fontKey="{4FC80AAA-42D3-4288-9741-4DCCE7FA15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EDF2971-241A-4B7B-93DF-329FAA59D9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B77E53E-AB99-4B56-8BF6-F2A71C3428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A4C78" w14:textId="77777777" w:rsidR="00D83E0D" w:rsidRDefault="00D83E0D">
      <w:pPr>
        <w:spacing w:after="0" w:line="240" w:lineRule="auto"/>
      </w:pPr>
      <w:r>
        <w:separator/>
      </w:r>
    </w:p>
  </w:footnote>
  <w:footnote w:type="continuationSeparator" w:id="0">
    <w:p w14:paraId="32675F5C" w14:textId="77777777" w:rsidR="00D83E0D" w:rsidRDefault="00D8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tag w:val="goog_rdk_13"/>
      <w:id w:val="-278008780"/>
    </w:sdtPr>
    <w:sdtEndPr/>
    <w:sdtContent>
      <w:p w14:paraId="000000E5" w14:textId="77777777" w:rsidR="004510EA" w:rsidRDefault="009755CC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40" w:lineRule="auto"/>
          <w:jc w:val="center"/>
          <w:rPr>
            <w:b/>
            <w:smallCaps/>
            <w:color w:val="000000"/>
            <w:sz w:val="28"/>
            <w:szCs w:val="28"/>
          </w:rPr>
        </w:pPr>
        <w:sdt>
          <w:sdtPr>
            <w:tag w:val="goog_rdk_12"/>
            <w:id w:val="-1022682791"/>
          </w:sdtPr>
          <w:sdtEndPr/>
          <w:sdtContent>
            <w:r w:rsidR="00D83E0D">
              <w:rPr>
                <w:b/>
                <w:smallCaps/>
                <w:color w:val="000000"/>
                <w:sz w:val="28"/>
                <w:szCs w:val="28"/>
              </w:rPr>
              <w:t>Technická specifikace</w:t>
            </w:r>
          </w:sdtContent>
        </w:sdt>
      </w:p>
    </w:sdtContent>
  </w:sdt>
  <w:p w14:paraId="000000E6" w14:textId="77777777" w:rsidR="004510EA" w:rsidRDefault="004510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768DB"/>
    <w:multiLevelType w:val="multilevel"/>
    <w:tmpl w:val="E0EC4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3D0B6B"/>
    <w:multiLevelType w:val="multilevel"/>
    <w:tmpl w:val="49E44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935F99"/>
    <w:multiLevelType w:val="multilevel"/>
    <w:tmpl w:val="7102C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840F98"/>
    <w:multiLevelType w:val="multilevel"/>
    <w:tmpl w:val="D76AA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3533754"/>
    <w:multiLevelType w:val="multilevel"/>
    <w:tmpl w:val="AE265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0037CFE"/>
    <w:multiLevelType w:val="multilevel"/>
    <w:tmpl w:val="FE34D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A944F50"/>
    <w:multiLevelType w:val="multilevel"/>
    <w:tmpl w:val="058E7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C903EE"/>
    <w:multiLevelType w:val="multilevel"/>
    <w:tmpl w:val="F8102D02"/>
    <w:lvl w:ilvl="0">
      <w:start w:val="1"/>
      <w:numFmt w:val="bullet"/>
      <w:pStyle w:val="Odrky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4195D98"/>
    <w:multiLevelType w:val="multilevel"/>
    <w:tmpl w:val="94085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1AF1F7A"/>
    <w:multiLevelType w:val="multilevel"/>
    <w:tmpl w:val="94086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0F7BC7"/>
    <w:multiLevelType w:val="multilevel"/>
    <w:tmpl w:val="B8124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22941538">
    <w:abstractNumId w:val="1"/>
  </w:num>
  <w:num w:numId="2" w16cid:durableId="1442990194">
    <w:abstractNumId w:val="10"/>
  </w:num>
  <w:num w:numId="3" w16cid:durableId="1652102703">
    <w:abstractNumId w:val="8"/>
  </w:num>
  <w:num w:numId="4" w16cid:durableId="1860503130">
    <w:abstractNumId w:val="6"/>
  </w:num>
  <w:num w:numId="5" w16cid:durableId="52899627">
    <w:abstractNumId w:val="9"/>
  </w:num>
  <w:num w:numId="6" w16cid:durableId="1877738839">
    <w:abstractNumId w:val="2"/>
  </w:num>
  <w:num w:numId="7" w16cid:durableId="928932513">
    <w:abstractNumId w:val="0"/>
  </w:num>
  <w:num w:numId="8" w16cid:durableId="291592862">
    <w:abstractNumId w:val="7"/>
  </w:num>
  <w:num w:numId="9" w16cid:durableId="2048799910">
    <w:abstractNumId w:val="3"/>
  </w:num>
  <w:num w:numId="10" w16cid:durableId="1863321282">
    <w:abstractNumId w:val="4"/>
  </w:num>
  <w:num w:numId="11" w16cid:durableId="6596500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0EA"/>
    <w:rsid w:val="000E75E9"/>
    <w:rsid w:val="004510EA"/>
    <w:rsid w:val="005A6EAF"/>
    <w:rsid w:val="005B793A"/>
    <w:rsid w:val="006662B4"/>
    <w:rsid w:val="009755CC"/>
    <w:rsid w:val="009D0E93"/>
    <w:rsid w:val="00CF73E3"/>
    <w:rsid w:val="00D8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8676E"/>
  <w15:docId w15:val="{EC7B6725-A57D-4FBA-98B1-BB033B3D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00000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color w:val="00000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C65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C65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C65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uiPriority w:val="9"/>
    <w:rsid w:val="0025292A"/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character" w:customStyle="1" w:styleId="Nadpis2Char">
    <w:name w:val="Nadpis 2 Char"/>
    <w:basedOn w:val="Standardnpsmoodstavce"/>
    <w:uiPriority w:val="9"/>
    <w:rsid w:val="0025292A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customStyle="1" w:styleId="Nadpis3Char">
    <w:name w:val="Nadpis 3 Char"/>
    <w:basedOn w:val="Standardnpsmoodstavce"/>
    <w:uiPriority w:val="9"/>
    <w:rsid w:val="006E6549"/>
    <w:rPr>
      <w:rFonts w:eastAsiaTheme="majorEastAsia" w:cstheme="majorBidi"/>
      <w:color w:val="000000" w:themeColor="text1"/>
      <w:sz w:val="24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C65D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C65D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C65D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5D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5D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5DE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C6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C65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C65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C65DE"/>
    <w:rPr>
      <w:i/>
      <w:iCs/>
      <w:color w:val="404040" w:themeColor="text1" w:themeTint="BF"/>
    </w:rPr>
  </w:style>
  <w:style w:type="paragraph" w:styleId="Odstavecseseznamem">
    <w:name w:val="List Paragraph"/>
    <w:link w:val="OdstavecseseznamemChar"/>
    <w:uiPriority w:val="34"/>
    <w:qFormat/>
    <w:rsid w:val="00FC65D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C65DE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FC65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5D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C65DE"/>
    <w:rPr>
      <w:b/>
      <w:bCs/>
      <w:smallCaps/>
      <w:color w:val="2F5496" w:themeColor="accent1" w:themeShade="BF"/>
      <w:spacing w:val="5"/>
    </w:rPr>
  </w:style>
  <w:style w:type="paragraph" w:customStyle="1" w:styleId="Odrky">
    <w:name w:val="Odrážky"/>
    <w:basedOn w:val="Odstavecseseznamem"/>
    <w:link w:val="OdrkyChar"/>
    <w:qFormat/>
    <w:rsid w:val="00186777"/>
    <w:pPr>
      <w:numPr>
        <w:numId w:val="8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86777"/>
  </w:style>
  <w:style w:type="character" w:customStyle="1" w:styleId="OdrkyChar">
    <w:name w:val="Odrážky Char"/>
    <w:basedOn w:val="OdstavecseseznamemChar"/>
    <w:link w:val="Odrky"/>
    <w:rsid w:val="00186777"/>
  </w:style>
  <w:style w:type="character" w:styleId="Odkaznakoment">
    <w:name w:val="annotation reference"/>
    <w:basedOn w:val="Standardnpsmoodstavce"/>
    <w:uiPriority w:val="99"/>
    <w:semiHidden/>
    <w:unhideWhenUsed/>
    <w:rsid w:val="00830BC6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830B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0B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0B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0BC6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830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0BC6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0A7431"/>
    <w:pPr>
      <w:spacing w:after="0" w:line="240" w:lineRule="auto"/>
    </w:pPr>
  </w:style>
  <w:style w:type="paragraph" w:styleId="Zhlav">
    <w:name w:val="header"/>
    <w:link w:val="ZhlavChar"/>
    <w:uiPriority w:val="99"/>
    <w:unhideWhenUsed/>
    <w:rsid w:val="0008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04"/>
  </w:style>
  <w:style w:type="paragraph" w:styleId="Zpat">
    <w:name w:val="footer"/>
    <w:link w:val="ZpatChar"/>
    <w:uiPriority w:val="99"/>
    <w:unhideWhenUsed/>
    <w:rsid w:val="0008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04"/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w5DVJEoOD1Qdioe7oVaWMReCcA==">CgMxLjAaGgoBMBIVChMIBCoPCgtBQUFCcHdMR1pkbxABGhoKATESFQoTCAQqDwoLQUFBQnB3TEdaZG8QARoaCgEyEhUKEwgEKg8KC0FBQUJwd0xHWmRvEAEaGgoBMxIVChMIBCoPCgtBQUFCcHdMR1pkVRABGhoKATQSFQoTCAQqDwoLQUFBQnB3TEdaZFUQARoaCgE1EhUKEwgEKg8KC0FBQUJwd0xHWmRVEAEaGgoBNhIVChMIBCoPCgtBQUFCcHdMR1pkVRABGhoKATcSFQoTCAQqDwoLQUFBQnB3TEdaZFUQARonCgE4EiIKIAgEKhwKC0FBQUJwd0xHWmRnEAgaC0FBQUJwd0xHWmRnGhoKATkSFQoTCAQqDwoLQUFBQnB3TEdaZGsQARobCgIxMBIVChMIBCoPCgtBQUFCcHdMR1pkYxABGhsKAjExEhUKEwgEKg8KC0FBQUJwd0xHWmRZEAEaGwoCMTISFQoTCAQqDwoLQUFBQnB3TEdaZFkQARobCgIxMxIVChMIBCoPCgtBQUFCcHdMR1pkWRABIq0CCgtBQUFCcHdMR1pkbxL5AQoLQUFBQnB3TEdaZG8SC0FBQUJwd0xHWmRvGg0KCXRleHQvaHRtbBIAIg4KCnRleHQvcGxhaW4SACobIhUxMDE1MTEwNzExNjY0NDk1NjM0NzcoADgAMPnHg4iOMzjDoIyIjjNKXwokYXBwbGljYXRpb24vdm5kLmdvb2dsZS1hcHBzLmRvY3MubWRzGjfC19rkATEaLworCiVQb8W+YWR1amVtZSBwbGF0Zm9ybXUgcyBjZXJ0aWZpa2Fjw60uEAEYABABWgxvdHpnN3huYW5sZGZyAiAAeACCARRzdWdnZXN0LjhmZGNzNmZicjU3bZoBBggAEAAYABj5x4OIjjMgw6CMiI4zQhRzdWdnZXN0LjhmZGNzNmZicjU3bSKyBAoLQUFBQnB3TEdaZGMS2gMKC0FBQUJwd0xHWmRjEgtBQUFCcHdMR1pkYxoNCgl0ZXh0L2h0bWwSACIOCgp0ZXh0L3BsYWluEgAqSgoRRHXFoWFuIEJhcmFub3ZpxI0aNS8vc3NsLmdzdGF0aWMuY29tL2RvY3MvY29tbW9uL2JsdWVfc2lsaG91ZXR0ZTk2LTAucG5nMMDUmumMMzjA1JrpjDNKqQEKJGFwcGxpY2F0aW9uL3ZuZC5nb29nbGUtYXBwcy5kb2NzLm1kcxqAAcLX2uQBehp4CnQKbmEgZGFsxaHDrWNoIG9iZWNuxJsgesOhdmF6bsO9Y2ggcMWZZWRwaXPFrywga3RlcsOpIGJ1ZG91IHVwcmF2b3ZhdCBreWJlcm5ldGlja291IGJlenBlxI1ub3N0IHYgZG9ixJsgcmVhbGl6YWNlEAEYARABckwKEUR1xaFhbiBCYXJhbm92acSNGjcKNS8vc3NsLmdzdGF0aWMuY29tL2RvY3MvY29tbW9uL2JsdWVfc2lsaG91ZXR0ZTk2LTAucG5neACCATZzdWdnZXN0SWRJbXBvcnQxMjI0M2Y1Yi1iZWFkLTQ2NTEtYmZkNi0yYmUyYWRkMDQyMTFfMTaIAQGaAQYIABAAGACwAQC4AQEYwNSa6YwzIMDUmumMMzAAQjZzdWdnZXN0SWRJbXBvcnQxMjI0M2Y1Yi1iZWFkLTQ2NTEtYmZkNi0yYmUyYWRkMDQyMTFfMTYirgQKC0FBQUJwd0xHWmRVEtcDCgtBQUFCcHdMR1pkVRILQUFBQnB3TEdaZFUaDQoJdGV4dC9odG1sEgAiDgoKdGV4dC9wbGFpbhIAKkoKEUR1xaFhbiBCYXJhbm92acSNGjUvL3NzbC5nc3RhdGljLmNvbS9kb2NzL2NvbW1vbi9ibHVlX3NpbGhvdWV0dGU5Ni0wLnBuZzDAmuPljDM4wJrj5YwzSqcBCiRhcHBsaWNhdGlvbi92bmQuZ29vZ2xlLWFwcHMuZG9jcy5tZHMaf8LX2uQBeRp3CnMKbTsgcG9waXMgcHJvc3RvciBhIGplamljaCBtaW5pbcOhbG7DrSBwb8W+YWRvdmFuw6kgcG9rcnl0w60gYmV6ZHLDoXRvdsO9bWkgc2Vuem9yeTogQnVkb3ZhIERaUjogT2RkxJtsZW7DrSBQMSAQARgBEAFyTAoRRHXFoWFuIEJhcmFub3ZpxI0aNwo1Ly9zc2wuZ3N0YXRpYy5jb20vZG9jcy9jb21tb24vYmx1ZV9zaWxob3VldHRlOTYtMC5wbmd4AIIBNXN1Z2dlc3RJZEltcG9ydDEyMjQzZjViLWJlYWQtNDY1MS1iZmQ2LTJiZTJhZGQwNDIxMV8xiAEBmgEGCAAQABgAsAEAuAEBGMCa4+WMMyDAmuPljDMwAEI1c3VnZ2VzdElkSW1wb3J0MTIyNDNmNWItYmVhZC00NjUxLWJmZDYtMmJlMmFkZDA0MjExXzEihQoKC0FBQUJwd0xHWmRnEtsJCgtBQUFCcHdMR1pkZxILQUFBQnB3TEdaZGca1wIKCXRleHQvaHRtbBLJAlByb3PDrW0gbyBwb3NvdXplbsOtLCB6ZGEgamUgaSBwbyDDusSNaW5ub3N0aSBub3bDqWhvICB6w6Frb25hIMSNLiAyNjQvMjAyNSBTYi4sIG8ga3liZXJuZXRpY2vDqSBiZXpwZcSNbm9zdGkgcmVsZXZhbnRuw60gcG/FvmFkYXZlayBuYSBzbcSbcm5pY2kgTklTIDIuIFDFmWVkcG9rbMOhZMOhbSDFvmUsIHTDrW0gxb5lIGpkZSBvIHNtxJtybmljaSBFdnJvcHNrw6lobyBwYXJsYW1lbnR1IGEgUmFkeSwgdGFrIGFuby4gUHJvIGppc3RvdHUgc2UgYWxlIHB0w6FtLCB6ZGEgbsOhdnJoIHBvc2xlZG7DrSDEjcOhc3RpIG9kc3RhdmNlIG3Fr8W+ZSB6xa9zdGF0IGRsZSBuw6F2cmh1ItgCCgp0ZXh0L3BsYWluEskCUHJvc8OtbSBvIHBvc291emVuw60sIHpkYSBqZSBpIHBvIMO6xI1pbm5vc3RpIG5vdsOpaG8gIHrDoWtvbmEgxI0uIDI2NC8yMDI1IFNiLiwgbyBreWJlcm5ldGlja8OpIGJlenBlxI1ub3N0aSByZWxldmFudG7DrSBwb8W+YWRhdmVrIG5hIHNtxJtybmljaSBOSVMgMi4gUMWZZWRwb2tsw6Fkw6FtIMW+ZSwgdMOtbSDFvmUgamRlIG8gc23Em3JuaWNpIEV2cm9wc2vDqWhvIHBhcmxhbWVudHUgYSBSYWR5LCB0YWsgYW5vLiBQcm8gamlzdG90dSBzZSBhbGUgcHTDoW0sIHpkYSBuw6F2cmggcG9zbGVkbsOtIMSNw6FzdGkgb2RzdGF2Y2UgbcWvxb5lIHrFr3N0YXQgZGxlIG7DoXZyaHUqSgoRRHXFoWFuIEJhcmFub3ZpxI0aNS8vc3NsLmdzdGF0aWMuY29tL2RvY3MvY29tbW9uL2JsdWVfc2lsaG91ZXR0ZTk2LTAucG5nMMDIifCMMzjAyInwjDNyTAoRRHXFoWFuIEJhcmFub3ZpxI0aNwo1Ly9zc2wuZ3N0YXRpYy5jb20vZG9jcy9jb21tb24vYmx1ZV9zaWxob3VldHRlOTYtMC5wbmd4AIgBAZoBBggAEAAYAKoBzAISyQJQcm9zw61tIG8gcG9zb3V6ZW7DrSwgemRhIGplIGkgcG8gw7rEjWlubm9zdGkgbm92w6lobyAgesOha29uYSDEjS4gMjY0LzIwMjUgU2IuLCBvIGt5YmVybmV0aWNrw6kgYmV6cGXEjW5vc3RpIHJlbGV2YW50bsOtIHBvxb5hZGF2ZWsgbmEgc23Em3JuaWNpIE5JUyAyLiBQxZllZHBva2zDoWTDoW0gxb5lLCB0w61tIMW+ZSBqZGUgbyBzbcSbcm5pY2kgRXZyb3Bza8OpaG8gcGFybGFtZW50dSBhIFJhZHksIHRhayBhbm8uIFBybyBqaXN0b3R1IHNlIGFsZSBwdMOhbSwgemRhIG7DoXZyaCBwb3NsZWRuw60gxI3DoXN0aSBvZHN0YXZjZSBtxa/FvmUgesWvc3RhdCBkbGUgbsOhdnJodbABALgBARjAyInwjDMgwMiJ8IwzMABCCGtpeC5jbXQ1ItgDCgtBQUFCcHdMR1pkWRKAAwoLQUFBQnB3TEdaZFkSC0FBQUJwd0xHWmRZGg0KCXRleHQvaHRtbBIAIg4KCnRleHQvcGxhaW4SACpKChFEdcWhYW4gQmFyYW5vdmnEjRo1Ly9zc2wuZ3N0YXRpYy5jb20vZG9jcy9jb21tb24vYmx1ZV9zaWxob3VldHRlOTYtMC5wbmcwgOS7/4wzOIDku/+MM0pQCiRhcHBsaWNhdGlvbi92bmQuZ29vZ2xlLWFwcHMuZG9jcy5tZHMaKMLX2uQBIhogChwKFlRlY2huaWNrw6Egc3BlY2lmaWthY2UQARgAEAFyTAoRRHXFoWFuIEJhcmFub3ZpxI0aNwo1Ly9zc2wuZ3N0YXRpYy5jb20vZG9jcy9jb21tb24vYmx1ZV9zaWxob3VldHRlOTYtMC5wbmd4AIIBNnN1Z2dlc3RJZEltcG9ydDEyMjQzZjViLWJlYWQtNDY1MS1iZmQ2LTJiZTJhZGQwNDIxMV8xN4gBAZoBBggAEAAYALABALgBARiA5Lv/jDMggOS7/4wzMABCNnN1Z2dlc3RJZEltcG9ydDEyMjQzZjViLWJlYWQtNDY1MS1iZmQ2LTJiZTJhZGQwNDIxMV8xNyLCAwoLQUFBQnB3TEdaZGsS6gIKC0FBQUJwd0xHWmRrEgtBQUFCcHdMR1pkaxoNCgl0ZXh0L2h0bWwSACIOCgp0ZXh0L3BsYWluEgAqSgoRRHXFoWFuIEJhcmFub3ZpxI0aNS8vc3NsLmdzdGF0aWMuY29tL2RvY3MvY29tbW9uL2JsdWVfc2lsaG91ZXR0ZTk2LTAucG5nMOCg9++MMzjgoPfvjDNKOgokYXBwbGljYXRpb24vdm5kLmdvb2dsZS1hcHBzLmRvY3MubWRzGhLC19rkAQwaCgoGCgAQARgAEAFyTAoRRHXFoWFuIEJhcmFub3ZpxI0aNwo1Ly9zc2wuZ3N0YXRpYy5jb20vZG9jcy9jb21tb24vYmx1ZV9zaWxob3VldHRlOTYtMC5wbmd4AIIBNnN1Z2dlc3RJZEltcG9ydDEyMjQzZjViLWJlYWQtNDY1MS1iZmQ2LTJiZTJhZGQwNDIxMV8xNYgBAZoBBggAEAAYALABALgBARjgoPfvjDMg4KD374wzMABCNnN1Z2dlc3RJZEltcG9ydDEyMjQzZjViLWJlYWQtNDY1MS1iZmQ2LTJiZTJhZGQwNDIxMV8xNTIOaC5renh5NWVhbmdpMjEyDmguOXVxZ2J5NXd1ZWRnMg5oLnd1d24wd3Uybno2MjgAajAKFHN1Z2dlc3QuOGZkY3M2ZmJyNTdtEhhWZXJvbmlrYSBLb3bDoWNzIFZvc3DEm2xqSwo2c3VnZ2VzdElkSW1wb3J0MTIyNDNmNWItYmVhZC00NjUxLWJmZDYtMmJlMmFkZDA0MjExXzE2EhFEdcWhYW4gQmFyYW5vdmnEjWpKCjVzdWdnZXN0SWRJbXBvcnQxMjI0M2Y1Yi1iZWFkLTQ2NTEtYmZkNi0yYmUyYWRkMDQyMTFfMRIRRHXFoWFuIEJhcmFub3ZpxI1qSwo2c3VnZ2VzdElkSW1wb3J0MTIyNDNmNWItYmVhZC00NjUxLWJmZDYtMmJlMmFkZDA0MjExXzE3EhFEdcWhYW4gQmFyYW5vdmnEjWpLCjZzdWdnZXN0SWRJbXBvcnQxMjI0M2Y1Yi1iZWFkLTQ2NTEtYmZkNi0yYmUyYWRkMDQyMTFfMTUSEUR1xaFhbiBCYXJhbm92acSNciExdTFJbW1ZNXNHRC1KTDZzTGRuSi1WelVUVFBZbHpma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4329</Words>
  <Characters>25543</Characters>
  <Application>Microsoft Office Word</Application>
  <DocSecurity>0</DocSecurity>
  <Lines>212</Lines>
  <Paragraphs>59</Paragraphs>
  <ScaleCrop>false</ScaleCrop>
  <Company/>
  <LinksUpToDate>false</LinksUpToDate>
  <CharactersWithSpaces>29813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Králík Martin (133972)</dc:creator>
  <cp:lastModifiedBy>Libor Havlík</cp:lastModifiedBy>
  <cp:revision>6</cp:revision>
  <dcterms:created xsi:type="dcterms:W3CDTF">2025-08-21T10:59:00Z</dcterms:created>
  <dcterms:modified xsi:type="dcterms:W3CDTF">2025-09-03T10:36:00Z</dcterms:modified>
</cp:coreProperties>
</file>