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8832" w14:textId="77777777" w:rsidR="009B0006" w:rsidRDefault="009B0006" w:rsidP="009B0006">
      <w:pPr>
        <w:spacing w:after="120"/>
        <w:jc w:val="left"/>
        <w:rPr>
          <w:rFonts w:cstheme="minorHAnsi"/>
          <w:b/>
          <w:szCs w:val="22"/>
          <w:highlight w:val="yellow"/>
          <w:u w:val="single"/>
        </w:rPr>
      </w:pPr>
      <w:r w:rsidRPr="006232D2">
        <w:rPr>
          <w:rFonts w:cstheme="minorHAnsi"/>
          <w:b/>
          <w:szCs w:val="22"/>
          <w:highlight w:val="yellow"/>
          <w:u w:val="single"/>
        </w:rPr>
        <w:t>Příloha č. 1 Výzvy:</w:t>
      </w:r>
    </w:p>
    <w:p w14:paraId="234FAF72" w14:textId="77777777" w:rsidR="009B0006" w:rsidRPr="006D46E0" w:rsidRDefault="009B0006" w:rsidP="009B0006">
      <w:pPr>
        <w:pStyle w:val="Zkladntext"/>
        <w:rPr>
          <w:rFonts w:ascii="Calibri" w:hAnsi="Calibri" w:cs="Calibri"/>
          <w:bCs/>
          <w:iCs/>
          <w:sz w:val="20"/>
          <w:szCs w:val="20"/>
        </w:rPr>
      </w:pPr>
      <w:r w:rsidRPr="006D46E0">
        <w:rPr>
          <w:rFonts w:ascii="Calibri" w:hAnsi="Calibri" w:cs="Calibri"/>
          <w:iCs/>
          <w:sz w:val="20"/>
          <w:szCs w:val="20"/>
        </w:rPr>
        <w:t xml:space="preserve">Tyto obchodní podmínky je účastník povinen zapracovat do návrhu smlouvy předkládaného jako součást nabídky na realizaci veřejné zakázky dle této zadávací dokumentace. Obsah obchodních podmínek může účastník při zpracování návrhu smlouvy doplnit pouze v těch částech, kde to vyplývá z textu obchodních podmínek nebo jiné části zadávací dokumentace </w:t>
      </w:r>
      <w:r w:rsidRPr="006D46E0">
        <w:rPr>
          <w:rFonts w:ascii="Calibri" w:hAnsi="Calibri" w:cs="Calibri"/>
          <w:iCs/>
          <w:sz w:val="20"/>
          <w:szCs w:val="20"/>
          <w:highlight w:val="yellow"/>
        </w:rPr>
        <w:t>(</w:t>
      </w:r>
      <w:r w:rsidRPr="006D46E0">
        <w:rPr>
          <w:rFonts w:ascii="Calibri" w:hAnsi="Calibri" w:cs="Calibri"/>
          <w:i/>
          <w:sz w:val="20"/>
          <w:szCs w:val="20"/>
          <w:highlight w:val="yellow"/>
        </w:rPr>
        <w:t>vyznačeno žlutě</w:t>
      </w:r>
      <w:r w:rsidRPr="006D46E0">
        <w:rPr>
          <w:rFonts w:ascii="Calibri" w:hAnsi="Calibri" w:cs="Calibri"/>
          <w:iCs/>
          <w:sz w:val="20"/>
          <w:szCs w:val="20"/>
          <w:highlight w:val="yellow"/>
        </w:rPr>
        <w:t>).</w:t>
      </w:r>
      <w:r w:rsidRPr="006D46E0">
        <w:rPr>
          <w:rFonts w:ascii="Calibri" w:hAnsi="Calibri" w:cs="Calibri"/>
          <w:b/>
          <w:sz w:val="20"/>
          <w:szCs w:val="20"/>
        </w:rPr>
        <w:t xml:space="preserve"> </w:t>
      </w:r>
      <w:r w:rsidRPr="006D46E0">
        <w:rPr>
          <w:rFonts w:ascii="Calibri" w:hAnsi="Calibri" w:cs="Calibri"/>
          <w:bCs/>
          <w:sz w:val="20"/>
          <w:szCs w:val="20"/>
        </w:rPr>
        <w:t>Tento text a text označený jako „</w:t>
      </w:r>
      <w:r w:rsidRPr="006D46E0">
        <w:rPr>
          <w:rFonts w:ascii="Calibri" w:hAnsi="Calibri" w:cs="Calibri"/>
          <w:bCs/>
          <w:i/>
          <w:iCs/>
          <w:sz w:val="20"/>
          <w:szCs w:val="20"/>
        </w:rPr>
        <w:t>Pokyny pro účastníka</w:t>
      </w:r>
      <w:r w:rsidRPr="006D46E0">
        <w:rPr>
          <w:rFonts w:ascii="Calibri" w:hAnsi="Calibri" w:cs="Calibri"/>
          <w:bCs/>
          <w:sz w:val="20"/>
          <w:szCs w:val="20"/>
        </w:rPr>
        <w:t>“ účastník při zpracování návrhu smlouvy smaže.</w:t>
      </w:r>
      <w:r w:rsidRPr="006D46E0">
        <w:rPr>
          <w:rFonts w:ascii="Calibri" w:hAnsi="Calibri" w:cs="Calibri"/>
          <w:b/>
          <w:sz w:val="20"/>
          <w:szCs w:val="20"/>
        </w:rPr>
        <w:t xml:space="preserve"> </w:t>
      </w:r>
      <w:r w:rsidRPr="006D46E0">
        <w:rPr>
          <w:rFonts w:ascii="Calibri" w:hAnsi="Calibri" w:cs="Calibri"/>
          <w:bCs/>
          <w:sz w:val="20"/>
          <w:szCs w:val="20"/>
        </w:rPr>
        <w:t>Ú</w:t>
      </w:r>
      <w:r w:rsidRPr="006D46E0">
        <w:rPr>
          <w:rFonts w:ascii="Calibri" w:hAnsi="Calibri" w:cs="Calibri"/>
          <w:iCs/>
          <w:sz w:val="20"/>
          <w:szCs w:val="20"/>
        </w:rPr>
        <w:t>častník</w:t>
      </w:r>
      <w:r w:rsidRPr="006D46E0">
        <w:rPr>
          <w:rFonts w:ascii="Calibri" w:hAnsi="Calibri" w:cs="Calibri"/>
          <w:sz w:val="20"/>
          <w:szCs w:val="20"/>
        </w:rPr>
        <w:t xml:space="preserve"> není oprávněn </w:t>
      </w:r>
      <w:r w:rsidRPr="006D46E0">
        <w:rPr>
          <w:rFonts w:ascii="Calibri" w:hAnsi="Calibri" w:cs="Calibri"/>
          <w:bCs/>
          <w:sz w:val="20"/>
          <w:szCs w:val="20"/>
        </w:rPr>
        <w:t>provádět jiné obsahové změny textu</w:t>
      </w:r>
      <w:r w:rsidRPr="006D46E0">
        <w:rPr>
          <w:rFonts w:ascii="Calibri" w:hAnsi="Calibri" w:cs="Calibri"/>
          <w:bCs/>
          <w:iCs/>
          <w:sz w:val="20"/>
          <w:szCs w:val="20"/>
        </w:rPr>
        <w:t>.</w:t>
      </w:r>
    </w:p>
    <w:p w14:paraId="430A749E" w14:textId="77777777" w:rsidR="009B0006" w:rsidRPr="00106B0F" w:rsidRDefault="009B0006" w:rsidP="009B0006">
      <w:pPr>
        <w:autoSpaceDE w:val="0"/>
        <w:autoSpaceDN w:val="0"/>
        <w:adjustRightInd w:val="0"/>
        <w:spacing w:after="120"/>
        <w:jc w:val="center"/>
        <w:rPr>
          <w:rFonts w:cstheme="minorHAnsi"/>
          <w:b/>
          <w:bCs/>
          <w:color w:val="000000"/>
          <w:sz w:val="24"/>
          <w:highlight w:val="yellow"/>
          <w:u w:val="single"/>
        </w:rPr>
      </w:pPr>
      <w:r w:rsidRPr="00106B0F">
        <w:rPr>
          <w:rFonts w:cstheme="minorHAnsi"/>
          <w:b/>
          <w:bCs/>
          <w:color w:val="000000"/>
          <w:sz w:val="24"/>
          <w:highlight w:val="yellow"/>
          <w:u w:val="single"/>
        </w:rPr>
        <w:t>NÁVRH SMLOUVY VEŘEJNÉ ZAKÁZKY</w:t>
      </w:r>
    </w:p>
    <w:p w14:paraId="0328A0D4" w14:textId="7C8634D5" w:rsidR="009B0006" w:rsidRDefault="007F6D76" w:rsidP="009B0006">
      <w:pPr>
        <w:spacing w:after="120"/>
        <w:jc w:val="center"/>
        <w:rPr>
          <w:b/>
          <w:bCs/>
          <w:szCs w:val="22"/>
        </w:rPr>
      </w:pPr>
      <w:r w:rsidRPr="007F6D76">
        <w:rPr>
          <w:b/>
          <w:bCs/>
          <w:szCs w:val="22"/>
          <w:highlight w:val="yellow"/>
        </w:rPr>
        <w:t>„11 Pokročilý pasport objektů v areálu Gymnázia Blansko</w:t>
      </w:r>
      <w:r w:rsidR="006D46E0" w:rsidRPr="007F6D76">
        <w:rPr>
          <w:b/>
          <w:bCs/>
          <w:szCs w:val="22"/>
          <w:highlight w:val="yellow"/>
        </w:rPr>
        <w:t xml:space="preserve">“- </w:t>
      </w:r>
      <w:r w:rsidR="009B0006" w:rsidRPr="00106B0F">
        <w:rPr>
          <w:rFonts w:cstheme="minorHAnsi"/>
          <w:color w:val="000000"/>
          <w:szCs w:val="22"/>
          <w:highlight w:val="yellow"/>
        </w:rPr>
        <w:t>pokyn pro účastníka</w:t>
      </w:r>
    </w:p>
    <w:p w14:paraId="7FFA0044" w14:textId="4BCA89E7"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2209C0">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3BEB1321"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 xml:space="preserve">Ing. </w:t>
      </w:r>
      <w:r w:rsidR="002513D9">
        <w:rPr>
          <w:rFonts w:cs="Calibri"/>
        </w:rPr>
        <w:t>František Hasoň</w:t>
      </w:r>
      <w:r w:rsidRPr="00AE5547">
        <w:rPr>
          <w:rFonts w:cs="Calibri"/>
        </w:rPr>
        <w:t xml:space="preserve">, </w:t>
      </w:r>
      <w:r w:rsidR="002513D9">
        <w:rPr>
          <w:rFonts w:cs="Calibri"/>
        </w:rPr>
        <w:t>člen Rady</w:t>
      </w:r>
      <w:r w:rsidRPr="00AE5547">
        <w:rPr>
          <w:rFonts w:cs="Calibri"/>
        </w:rPr>
        <w:t xml:space="preserve">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03570AFE" w14:textId="77777777" w:rsidR="007306C5" w:rsidRPr="00AE5547" w:rsidRDefault="007306C5" w:rsidP="007306C5">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Pr>
          <w:rFonts w:cs="Calibri"/>
          <w:szCs w:val="22"/>
        </w:rPr>
        <w:t xml:space="preserve">Ing. Radim Kramář, referent </w:t>
      </w:r>
      <w:r>
        <w:rPr>
          <w:rFonts w:cstheme="minorHAnsi"/>
          <w:szCs w:val="22"/>
        </w:rPr>
        <w:t xml:space="preserve">oddělení evidence a správy majetku odboru majetkového a Bc. Eva Preissová, referentka oddělení evidence a správy majetku odboru majetkového </w:t>
      </w:r>
      <w:r w:rsidRPr="00AE5547">
        <w:rPr>
          <w:rFonts w:cs="Calibri"/>
          <w:szCs w:val="22"/>
        </w:rPr>
        <w:t>Krajského úřadu Jihomoravského kraje</w:t>
      </w:r>
    </w:p>
    <w:p w14:paraId="3D4D55DD" w14:textId="77777777" w:rsidR="007306C5" w:rsidRPr="00AE5547" w:rsidRDefault="007306C5" w:rsidP="007306C5">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Pr>
          <w:rFonts w:cs="Calibri"/>
          <w:szCs w:val="22"/>
        </w:rPr>
        <w:t> </w:t>
      </w:r>
      <w:r w:rsidRPr="00AE5547">
        <w:rPr>
          <w:rFonts w:cs="Calibri"/>
          <w:szCs w:val="22"/>
        </w:rPr>
        <w:t>4</w:t>
      </w:r>
      <w:r w:rsidRPr="00AE5547">
        <w:rPr>
          <w:rFonts w:cs="Calibri"/>
        </w:rPr>
        <w:t>5</w:t>
      </w:r>
      <w:r>
        <w:rPr>
          <w:rFonts w:cs="Calibri"/>
        </w:rPr>
        <w:t xml:space="preserve">5, </w:t>
      </w:r>
      <w:r>
        <w:rPr>
          <w:rFonts w:cs="Calibri"/>
          <w:szCs w:val="22"/>
        </w:rPr>
        <w:t>541 652 494</w:t>
      </w:r>
    </w:p>
    <w:p w14:paraId="5AE3E3D6" w14:textId="77777777" w:rsidR="007306C5" w:rsidRDefault="007306C5" w:rsidP="007306C5">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690DED">
          <w:rPr>
            <w:rStyle w:val="Hypertextovodkaz"/>
            <w:rFonts w:cs="Calibri"/>
            <w:szCs w:val="22"/>
          </w:rPr>
          <w:t>kramar.radim@jmk.cz</w:t>
        </w:r>
      </w:hyperlink>
      <w:r>
        <w:rPr>
          <w:rFonts w:cs="Calibri"/>
          <w:szCs w:val="22"/>
        </w:rPr>
        <w:t xml:space="preserve"> a </w:t>
      </w:r>
      <w:hyperlink r:id="rId12" w:history="1">
        <w:r w:rsidRPr="00690DED">
          <w:rPr>
            <w:rStyle w:val="Hypertextovodkaz"/>
            <w:rFonts w:cs="Calibri"/>
            <w:szCs w:val="22"/>
          </w:rPr>
          <w:t>preissova.eva@jmk.cz</w:t>
        </w:r>
      </w:hyperlink>
      <w:r>
        <w:rPr>
          <w:rFonts w:cs="Calibri"/>
          <w:szCs w:val="22"/>
        </w:rPr>
        <w:t xml:space="preserve"> </w:t>
      </w:r>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5DD7D28A"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00DE5BE4">
        <w:rPr>
          <w:rFonts w:cs="Calibri"/>
          <w:szCs w:val="22"/>
        </w:rPr>
        <w:tab/>
      </w:r>
      <w:r w:rsidR="00DE5BE4">
        <w:rPr>
          <w:rFonts w:cs="Calibri"/>
          <w:szCs w:val="22"/>
        </w:rPr>
        <w:tab/>
      </w:r>
      <w:r w:rsidR="00DE5BE4">
        <w:rPr>
          <w:rFonts w:cs="Calibri"/>
          <w:szCs w:val="22"/>
        </w:rPr>
        <w:tab/>
      </w:r>
    </w:p>
    <w:p w14:paraId="03C6E66F" w14:textId="1F26D356"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1EED6B80" w14:textId="77777777" w:rsidR="00931F82" w:rsidRPr="00F26967" w:rsidRDefault="00931F82" w:rsidP="0003159C">
      <w:pPr>
        <w:spacing w:after="120"/>
      </w:pPr>
    </w:p>
    <w:p w14:paraId="16B7C0DE" w14:textId="4DD38D0E" w:rsidR="00432826" w:rsidRPr="00837EE5" w:rsidRDefault="00F26967" w:rsidP="00837EE5">
      <w:pPr>
        <w:pStyle w:val="Odstavecseseznamem"/>
        <w:numPr>
          <w:ilvl w:val="0"/>
          <w:numId w:val="1"/>
        </w:numPr>
        <w:spacing w:after="120"/>
        <w:jc w:val="center"/>
        <w:rPr>
          <w:b/>
          <w:bCs/>
        </w:rPr>
      </w:pPr>
      <w:r w:rsidRPr="00DC4AA8">
        <w:rPr>
          <w:b/>
          <w:bCs/>
        </w:rPr>
        <w:t>Předmět smlouvy</w:t>
      </w: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7F8E9367" w14:textId="77777777" w:rsidR="005B3FCF" w:rsidRDefault="005B3FCF" w:rsidP="005B3FCF">
      <w:pPr>
        <w:spacing w:after="0"/>
        <w:ind w:left="2832" w:hanging="2832"/>
        <w:jc w:val="center"/>
        <w:rPr>
          <w:rFonts w:cs="Calibri"/>
          <w:b/>
          <w:bCs/>
        </w:rPr>
      </w:pPr>
      <w:r w:rsidRPr="00FD6595">
        <w:rPr>
          <w:b/>
          <w:bCs/>
          <w:szCs w:val="22"/>
        </w:rPr>
        <w:t>„11 Pokročilý pasport objektů v areálu Gymnázia Blansko“</w:t>
      </w:r>
    </w:p>
    <w:p w14:paraId="46C95996" w14:textId="77777777" w:rsidR="006D46E0" w:rsidRPr="009C3912" w:rsidRDefault="006D46E0" w:rsidP="00991FAA">
      <w:pPr>
        <w:pStyle w:val="Odstavecseseznamem"/>
        <w:spacing w:after="120"/>
        <w:jc w:val="center"/>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209B0920" w14:textId="0D61E5F6" w:rsidR="00B55F95" w:rsidRPr="00672AD7" w:rsidRDefault="00B55F95" w:rsidP="00B55F95">
      <w:pPr>
        <w:pStyle w:val="Odstavecseseznamem"/>
        <w:numPr>
          <w:ilvl w:val="0"/>
          <w:numId w:val="6"/>
        </w:numPr>
        <w:spacing w:after="120"/>
      </w:pPr>
      <w:r w:rsidRPr="00672AD7">
        <w:t xml:space="preserve">dokončení a předání díla objednateli nejpozději do </w:t>
      </w:r>
      <w:r w:rsidR="001E2244">
        <w:t>25</w:t>
      </w:r>
      <w:r>
        <w:t>.1</w:t>
      </w:r>
      <w:r w:rsidR="006D46E0">
        <w:t>1</w:t>
      </w:r>
      <w:r>
        <w:t>.2025</w:t>
      </w:r>
      <w:r w:rsidRPr="00672AD7">
        <w:t xml:space="preserve"> </w:t>
      </w:r>
    </w:p>
    <w:p w14:paraId="76B9C4FF" w14:textId="77777777" w:rsidR="00B55F95" w:rsidRPr="006F7618" w:rsidRDefault="00B55F95" w:rsidP="00B55F95">
      <w:pPr>
        <w:pStyle w:val="Odstavecseseznamem"/>
        <w:numPr>
          <w:ilvl w:val="0"/>
          <w:numId w:val="6"/>
        </w:numPr>
        <w:spacing w:after="120"/>
      </w:pPr>
      <w:r w:rsidRPr="00486A0B">
        <w:rPr>
          <w:highlight w:val="yellow"/>
        </w:rPr>
        <w:t>……………</w:t>
      </w:r>
      <w:r w:rsidRPr="00486A0B">
        <w:rPr>
          <w:rFonts w:ascii="Calibri" w:eastAsia="Aptos" w:hAnsi="Calibri" w:cs="Calibri"/>
          <w:szCs w:val="22"/>
          <w:lang w:eastAsia="en-US"/>
        </w:rPr>
        <w:t xml:space="preserve"> dn</w:t>
      </w:r>
      <w:r>
        <w:rPr>
          <w:rFonts w:ascii="Calibri" w:eastAsia="Aptos" w:hAnsi="Calibri" w:cs="Calibri"/>
          <w:szCs w:val="22"/>
          <w:lang w:eastAsia="en-US"/>
        </w:rPr>
        <w:t>ů</w:t>
      </w:r>
      <w:r w:rsidRPr="00486A0B">
        <w:rPr>
          <w:rFonts w:ascii="Calibri" w:eastAsia="Aptos" w:hAnsi="Calibri" w:cs="Calibri"/>
          <w:szCs w:val="22"/>
          <w:lang w:eastAsia="en-US"/>
        </w:rPr>
        <w:t xml:space="preserve"> strávených v</w:t>
      </w:r>
      <w:r>
        <w:rPr>
          <w:rFonts w:ascii="Calibri" w:eastAsia="Aptos" w:hAnsi="Calibri" w:cs="Calibri"/>
          <w:szCs w:val="22"/>
          <w:lang w:eastAsia="en-US"/>
        </w:rPr>
        <w:t xml:space="preserve"> areálu </w:t>
      </w:r>
    </w:p>
    <w:p w14:paraId="4FC76991" w14:textId="77777777" w:rsidR="00B55F95" w:rsidRPr="00486A0B" w:rsidRDefault="00B55F95" w:rsidP="00B55F95">
      <w:pPr>
        <w:pStyle w:val="Odstavecseseznamem"/>
        <w:numPr>
          <w:ilvl w:val="0"/>
          <w:numId w:val="6"/>
        </w:numPr>
        <w:spacing w:after="120"/>
      </w:pPr>
      <w:r>
        <w:rPr>
          <w:rFonts w:ascii="Calibri" w:eastAsia="Aptos" w:hAnsi="Calibri" w:cs="Calibri"/>
          <w:szCs w:val="22"/>
          <w:lang w:eastAsia="en-US"/>
        </w:rPr>
        <w:t>konkrétní termíny dnů strávených v areálu budou definovány</w:t>
      </w:r>
      <w:r w:rsidRPr="00F214CA">
        <w:rPr>
          <w:rFonts w:ascii="Calibri" w:eastAsia="Aptos" w:hAnsi="Calibri" w:cs="Calibri"/>
          <w:szCs w:val="22"/>
          <w:lang w:eastAsia="en-US"/>
        </w:rPr>
        <w:t xml:space="preserve"> </w:t>
      </w:r>
      <w:r>
        <w:rPr>
          <w:rFonts w:ascii="Calibri" w:eastAsia="Aptos" w:hAnsi="Calibri" w:cs="Calibri"/>
          <w:szCs w:val="22"/>
          <w:lang w:eastAsia="en-US"/>
        </w:rPr>
        <w:t>do 7 pracovních dnů od nabytí účinnosti smlouvy</w:t>
      </w:r>
    </w:p>
    <w:p w14:paraId="2D747CAF" w14:textId="77777777" w:rsidR="00FF01B1" w:rsidRPr="00F26967" w:rsidRDefault="00FF01B1" w:rsidP="00FF01B1">
      <w:pPr>
        <w:spacing w:after="120"/>
      </w:pPr>
    </w:p>
    <w:p w14:paraId="68E0137F" w14:textId="77777777" w:rsidR="00FF01B1" w:rsidRPr="00CC2D71" w:rsidRDefault="00FF01B1" w:rsidP="00CC2D71">
      <w:pPr>
        <w:pStyle w:val="Odstavecseseznamem"/>
        <w:numPr>
          <w:ilvl w:val="0"/>
          <w:numId w:val="1"/>
        </w:numPr>
        <w:spacing w:after="120"/>
        <w:jc w:val="center"/>
        <w:rPr>
          <w:b/>
          <w:bCs/>
        </w:rPr>
      </w:pPr>
      <w:bookmarkStart w:id="0" w:name="_Ref26697059"/>
      <w:r w:rsidRPr="00CC2D71">
        <w:rPr>
          <w:b/>
          <w:bCs/>
        </w:rPr>
        <w:t>Cena plnění</w:t>
      </w:r>
      <w:bookmarkEnd w:id="0"/>
      <w:r w:rsidRPr="00CC2D71">
        <w:rPr>
          <w:b/>
          <w:bCs/>
        </w:rPr>
        <w:t xml:space="preserve"> a platební podmínky</w:t>
      </w:r>
    </w:p>
    <w:p w14:paraId="7758EBBD" w14:textId="77777777" w:rsidR="00FF01B1" w:rsidRDefault="00FF01B1" w:rsidP="00494E55">
      <w:pPr>
        <w:spacing w:after="120"/>
        <w:ind w:firstLine="360"/>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B06400">
      <w:pPr>
        <w:spacing w:after="120"/>
        <w:ind w:firstLine="360"/>
      </w:pPr>
      <w:r w:rsidRPr="00F26967">
        <w:t>Sjednaná cena díla je cenou za poskytnutí celého plnění zhotovitele dle této smlouvy.</w:t>
      </w:r>
    </w:p>
    <w:p w14:paraId="2E07D87C" w14:textId="77777777" w:rsidR="00F26967" w:rsidRPr="00DC7D58" w:rsidRDefault="00F26967" w:rsidP="009C3912">
      <w:pPr>
        <w:spacing w:after="120"/>
        <w:ind w:firstLine="360"/>
        <w:rPr>
          <w:i/>
          <w:iCs/>
          <w:sz w:val="20"/>
          <w:szCs w:val="22"/>
        </w:rPr>
      </w:pPr>
      <w:r w:rsidRPr="00DC7D58">
        <w:rPr>
          <w:i/>
          <w:iCs/>
          <w:sz w:val="20"/>
          <w:szCs w:val="22"/>
        </w:rPr>
        <w:t>(Cenové údaje budou doplněny před uzavřením smlouvy v souladu s nabídkou vybraného dodavatele.)</w:t>
      </w:r>
    </w:p>
    <w:p w14:paraId="7F47D82F" w14:textId="77777777" w:rsidR="0054694A" w:rsidRPr="0003159C" w:rsidRDefault="0054694A" w:rsidP="009C3912">
      <w:pPr>
        <w:spacing w:after="120"/>
        <w:ind w:firstLine="360"/>
        <w:rPr>
          <w:i/>
          <w:iCs/>
        </w:rPr>
      </w:pP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w:t>
      </w:r>
      <w:r w:rsidRPr="00F26967">
        <w:lastRenderedPageBreak/>
        <w:t xml:space="preserve">oběma smluvními stranami. Fakturu spolu s přílohami doručí </w:t>
      </w:r>
      <w:r w:rsidR="00E03C60">
        <w:t xml:space="preserve">zhotovitel objednateli </w:t>
      </w:r>
      <w:r w:rsidRPr="00F26967">
        <w:t xml:space="preserve">v elektronické formě do datové schránky (ID: x2pbqzq) nebo e-mailem na adresu </w:t>
      </w:r>
      <w:hyperlink r:id="rId13" w:history="1">
        <w:r w:rsidR="00DC4AA8" w:rsidRPr="00E83547">
          <w:rPr>
            <w:rStyle w:val="Hypertextovodkaz"/>
          </w:rPr>
          <w:t>posta@kr-jihomoravsky.cz</w:t>
        </w:r>
      </w:hyperlink>
      <w:r w:rsidRPr="00F26967">
        <w:t>.</w:t>
      </w:r>
    </w:p>
    <w:p w14:paraId="2CA961D2" w14:textId="116ECE53" w:rsidR="00DA6D7B" w:rsidRPr="00F26967" w:rsidRDefault="00F26967" w:rsidP="00CC2D71">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běží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386F4664" w14:textId="1EE9C006" w:rsidR="00DA6D7B" w:rsidRPr="00B06400" w:rsidRDefault="00591549" w:rsidP="00B06400">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063FDAF4" w14:textId="77777777" w:rsidR="00A95639" w:rsidRDefault="00A95639" w:rsidP="0003159C">
      <w:pPr>
        <w:spacing w:after="120"/>
      </w:pPr>
    </w:p>
    <w:p w14:paraId="1036241D" w14:textId="77777777" w:rsidR="00B06400" w:rsidRPr="00F26967" w:rsidRDefault="00B06400"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poruší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Smluvní pokuty a úroky z prodlení podle tohoto článku jsou splatné do 30 dnů ode dne, kdy povinná strana obdrží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10F2E91" w14:textId="77777777" w:rsidR="00DA6D7B" w:rsidRDefault="00DA6D7B" w:rsidP="008E2E87">
      <w:pPr>
        <w:spacing w:after="120"/>
      </w:pPr>
    </w:p>
    <w:p w14:paraId="1274B813" w14:textId="77777777" w:rsidR="00837EE5" w:rsidRDefault="00837EE5" w:rsidP="008E2E87">
      <w:pPr>
        <w:spacing w:after="120"/>
      </w:pPr>
    </w:p>
    <w:p w14:paraId="132234DB" w14:textId="77777777" w:rsidR="00ED05E3" w:rsidRDefault="00ED05E3" w:rsidP="008E2E87">
      <w:pPr>
        <w:spacing w:after="120"/>
      </w:pPr>
    </w:p>
    <w:p w14:paraId="522C268E" w14:textId="77777777" w:rsidR="00ED05E3" w:rsidRPr="00F26967" w:rsidRDefault="00ED05E3"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lastRenderedPageBreak/>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21F6FAF5" w14:textId="77777777" w:rsidR="00DA6D7B" w:rsidRPr="00F26967" w:rsidRDefault="00DA6D7B" w:rsidP="00723E37">
      <w:pPr>
        <w:spacing w:after="120"/>
      </w:pPr>
    </w:p>
    <w:p w14:paraId="13D32785" w14:textId="77777777" w:rsidR="00F26967" w:rsidRDefault="00F26967" w:rsidP="00AA76EC">
      <w:pPr>
        <w:pStyle w:val="Odstavecseseznamem"/>
        <w:numPr>
          <w:ilvl w:val="0"/>
          <w:numId w:val="1"/>
        </w:numPr>
        <w:spacing w:after="120"/>
        <w:jc w:val="center"/>
        <w:rPr>
          <w:b/>
          <w:bCs/>
        </w:rPr>
      </w:pPr>
      <w:r w:rsidRPr="008E2E87">
        <w:rPr>
          <w:b/>
          <w:bCs/>
        </w:rPr>
        <w:t>Závěrečná ustanovení</w:t>
      </w:r>
    </w:p>
    <w:p w14:paraId="3724D21E" w14:textId="77777777" w:rsidR="00DC7D58" w:rsidRPr="008E2E87" w:rsidRDefault="00DC7D58" w:rsidP="00DC7D58">
      <w:pPr>
        <w:pStyle w:val="Odstavecseseznamem"/>
        <w:spacing w:after="120"/>
        <w:rPr>
          <w:b/>
          <w:bCs/>
        </w:rPr>
      </w:pP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40D1AFAE"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obdrží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36CFF772" w14:textId="77777777" w:rsidR="00DC7D58" w:rsidRDefault="00DC7D58" w:rsidP="00DC7D58">
      <w:pPr>
        <w:pStyle w:val="Odstavecseseznamem"/>
        <w:spacing w:after="120"/>
      </w:pPr>
    </w:p>
    <w:p w14:paraId="3F796F4A" w14:textId="77777777" w:rsidR="00DC7D58" w:rsidRDefault="00DC7D58" w:rsidP="00DC7D58">
      <w:pPr>
        <w:pStyle w:val="Odstavecseseznamem"/>
        <w:spacing w:after="120"/>
      </w:pPr>
    </w:p>
    <w:p w14:paraId="4E41A7D4" w14:textId="77777777" w:rsidR="00DC7D58" w:rsidRDefault="00DC7D58" w:rsidP="00DC7D58">
      <w:pPr>
        <w:pStyle w:val="Odstavecseseznamem"/>
        <w:spacing w:after="120"/>
      </w:pPr>
    </w:p>
    <w:p w14:paraId="1C46ACE3" w14:textId="77777777" w:rsidR="00DC7D58" w:rsidRDefault="00DC7D58" w:rsidP="00DC7D58">
      <w:pPr>
        <w:pStyle w:val="Odstavecseseznamem"/>
        <w:spacing w:after="120"/>
      </w:pPr>
    </w:p>
    <w:p w14:paraId="23B77D94" w14:textId="77777777" w:rsidR="00DC7D58" w:rsidRDefault="00DC7D58" w:rsidP="00DC7D58">
      <w:pPr>
        <w:pStyle w:val="Odstavecseseznamem"/>
        <w:spacing w:after="120"/>
      </w:pPr>
    </w:p>
    <w:p w14:paraId="03810109" w14:textId="7E3B6DBB" w:rsidR="00B14606" w:rsidRDefault="009D4B94" w:rsidP="00B14606">
      <w:pPr>
        <w:pStyle w:val="Odstavecseseznamem"/>
        <w:numPr>
          <w:ilvl w:val="0"/>
          <w:numId w:val="14"/>
        </w:numPr>
      </w:pPr>
      <w:r w:rsidRPr="009D4B94">
        <w:lastRenderedPageBreak/>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547AF742" w14:textId="77777777" w:rsidR="00AB5EC8" w:rsidRDefault="00AB5EC8" w:rsidP="00AB5EC8">
      <w:pPr>
        <w:pStyle w:val="Odstavecseseznamem"/>
        <w:keepNext/>
        <w:rPr>
          <w:rFonts w:ascii="Calibri" w:hAnsi="Calibri"/>
          <w:szCs w:val="22"/>
        </w:rPr>
      </w:pPr>
      <w:r w:rsidRPr="00125DC8">
        <w:rPr>
          <w:rFonts w:ascii="Calibri" w:hAnsi="Calibri"/>
          <w:b/>
          <w:iCs/>
          <w:szCs w:val="22"/>
        </w:rPr>
        <w:t xml:space="preserve">Doložka podle </w:t>
      </w:r>
      <w:proofErr w:type="spellStart"/>
      <w:r w:rsidRPr="00125DC8">
        <w:rPr>
          <w:rFonts w:ascii="Calibri" w:hAnsi="Calibri"/>
          <w:b/>
          <w:iCs/>
          <w:szCs w:val="22"/>
        </w:rPr>
        <w:t>ust</w:t>
      </w:r>
      <w:proofErr w:type="spellEnd"/>
      <w:r w:rsidRPr="00125DC8">
        <w:rPr>
          <w:rFonts w:ascii="Calibri" w:hAnsi="Calibri"/>
          <w:b/>
          <w:iCs/>
          <w:szCs w:val="22"/>
        </w:rPr>
        <w:t>. § 23 zákona č. 129/2000 Sb., o krajích (krajské zřízení), ve znění pozdějších předpisů</w:t>
      </w:r>
      <w:r>
        <w:rPr>
          <w:rFonts w:ascii="Calibri" w:hAnsi="Calibri"/>
          <w:b/>
          <w:iCs/>
          <w:szCs w:val="22"/>
        </w:rPr>
        <w:t xml:space="preserve">. </w:t>
      </w:r>
      <w:r w:rsidRPr="00125DC8">
        <w:rPr>
          <w:rFonts w:ascii="Calibri" w:hAnsi="Calibri"/>
          <w:szCs w:val="22"/>
        </w:rPr>
        <w:t xml:space="preserve">Tato smlouva byla schválena Radou Jihomoravského kraje dne </w:t>
      </w:r>
      <w:r>
        <w:rPr>
          <w:rFonts w:ascii="Calibri" w:hAnsi="Calibri"/>
          <w:szCs w:val="22"/>
        </w:rPr>
        <w:t>17.4.2024</w:t>
      </w:r>
      <w:r w:rsidRPr="00125DC8">
        <w:rPr>
          <w:rFonts w:ascii="Calibri" w:hAnsi="Calibri"/>
          <w:szCs w:val="22"/>
        </w:rPr>
        <w:t xml:space="preserve"> na </w:t>
      </w:r>
      <w:r>
        <w:rPr>
          <w:rFonts w:ascii="Calibri" w:hAnsi="Calibri"/>
          <w:szCs w:val="22"/>
        </w:rPr>
        <w:t>128.</w:t>
      </w:r>
      <w:r w:rsidRPr="00125DC8">
        <w:rPr>
          <w:rFonts w:ascii="Calibri" w:hAnsi="Calibri"/>
          <w:szCs w:val="22"/>
        </w:rPr>
        <w:t xml:space="preserve"> schůzi usnesením č. </w:t>
      </w:r>
      <w:r w:rsidRPr="00AC5D2C">
        <w:rPr>
          <w:rFonts w:ascii="Calibri" w:hAnsi="Calibri"/>
          <w:szCs w:val="22"/>
        </w:rPr>
        <w:t>9315/24/R128</w:t>
      </w:r>
      <w:r w:rsidRPr="00125DC8">
        <w:rPr>
          <w:rFonts w:ascii="Calibri" w:hAnsi="Calibri"/>
          <w:szCs w:val="22"/>
        </w:rPr>
        <w:t>.</w:t>
      </w:r>
    </w:p>
    <w:p w14:paraId="605D83AF" w14:textId="77777777" w:rsidR="00723E37" w:rsidRDefault="00723E37" w:rsidP="00723E37">
      <w:pPr>
        <w:ind w:left="360"/>
      </w:pP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6BB22FE8" w:rsidR="00F64952" w:rsidRPr="00132B3A" w:rsidRDefault="00F64952" w:rsidP="00132B3A">
      <w:pPr>
        <w:tabs>
          <w:tab w:val="left" w:pos="1701"/>
          <w:tab w:val="left" w:pos="6237"/>
          <w:tab w:val="left" w:pos="7513"/>
        </w:tabs>
        <w:overflowPunct w:val="0"/>
        <w:autoSpaceDE w:val="0"/>
        <w:autoSpaceDN w:val="0"/>
        <w:adjustRightInd w:val="0"/>
        <w:spacing w:after="0"/>
        <w:ind w:left="360"/>
        <w:rPr>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00132B3A">
        <w:rPr>
          <w:rFonts w:cstheme="minorHAnsi"/>
          <w:szCs w:val="22"/>
        </w:rPr>
        <w:t xml:space="preserve"> </w:t>
      </w:r>
      <w:r w:rsidRPr="00057774">
        <w:rPr>
          <w:szCs w:val="22"/>
        </w:rPr>
        <w:t xml:space="preserve">Př. </w:t>
      </w:r>
      <w:r w:rsidRPr="00132B3A">
        <w:rPr>
          <w:szCs w:val="22"/>
        </w:rPr>
        <w:t>č. 3 ID Kódy JMK</w:t>
      </w:r>
    </w:p>
    <w:p w14:paraId="621ED3A9" w14:textId="77777777" w:rsidR="00BC6D68" w:rsidRDefault="00BC6D68" w:rsidP="009761F2">
      <w:pPr>
        <w:pStyle w:val="Default"/>
        <w:tabs>
          <w:tab w:val="left" w:pos="851"/>
        </w:tabs>
        <w:rPr>
          <w:rFonts w:cstheme="minorHAnsi"/>
          <w:szCs w:val="22"/>
        </w:rPr>
      </w:pPr>
    </w:p>
    <w:p w14:paraId="0E9DBCF5" w14:textId="77777777" w:rsidR="00906ABA" w:rsidRDefault="00906ABA" w:rsidP="009761F2">
      <w:pPr>
        <w:pStyle w:val="Default"/>
        <w:tabs>
          <w:tab w:val="left" w:pos="851"/>
        </w:tabs>
        <w:rPr>
          <w:rFonts w:cstheme="minorHAnsi"/>
          <w:szCs w:val="22"/>
        </w:rPr>
      </w:pPr>
    </w:p>
    <w:p w14:paraId="1F0D405F" w14:textId="77777777" w:rsidR="009761F2" w:rsidRPr="00057774" w:rsidRDefault="009761F2" w:rsidP="009761F2">
      <w:pPr>
        <w:pStyle w:val="Default"/>
        <w:tabs>
          <w:tab w:val="left" w:pos="851"/>
        </w:tabs>
        <w:rPr>
          <w:rFonts w:cstheme="minorHAnsi"/>
          <w:szCs w:val="22"/>
        </w:rPr>
      </w:pPr>
    </w:p>
    <w:p w14:paraId="64793945" w14:textId="2314E75C" w:rsidR="008E2E87" w:rsidRDefault="00E645B5">
      <w:pPr>
        <w:spacing w:after="120"/>
      </w:pPr>
      <w:r>
        <w:t xml:space="preserve">     </w:t>
      </w:r>
      <w:r w:rsidR="008E2E87">
        <w:t>V Brně</w:t>
      </w:r>
      <w:r w:rsidR="008E2E87">
        <w:tab/>
      </w:r>
      <w:r w:rsidR="00906ABA">
        <w:tab/>
      </w:r>
      <w:r w:rsidR="001F5B36">
        <w:t xml:space="preserve"> </w:t>
      </w:r>
      <w:r w:rsidR="009648E0">
        <w:t xml:space="preserve"> </w:t>
      </w:r>
      <w:r w:rsidR="001F5B36">
        <w:t xml:space="preserve">   </w:t>
      </w:r>
      <w:r w:rsidR="00906ABA">
        <w:t xml:space="preserve"> </w:t>
      </w:r>
      <w:r w:rsidR="008E2E87">
        <w:t>dne .........................</w:t>
      </w:r>
      <w:r>
        <w:tab/>
        <w:t xml:space="preserve">     </w:t>
      </w:r>
      <w:r w:rsidR="001F5B36">
        <w:tab/>
        <w:t xml:space="preserve">    </w:t>
      </w:r>
      <w:r w:rsidR="00530612">
        <w:t xml:space="preserve">   </w:t>
      </w:r>
      <w:r>
        <w:t xml:space="preserve">   </w:t>
      </w:r>
      <w:r w:rsidR="008E2E87">
        <w:t xml:space="preserve">V </w:t>
      </w:r>
      <w:r w:rsidR="003B426C">
        <w:t>.........................</w:t>
      </w:r>
      <w:r w:rsidR="003B426C">
        <w:tab/>
      </w:r>
      <w:r>
        <w:t xml:space="preserve">          </w:t>
      </w:r>
      <w:r w:rsidR="009648E0">
        <w:t xml:space="preserve">  </w:t>
      </w:r>
      <w:r w:rsidR="008E2E87">
        <w:t xml:space="preserve">dne </w:t>
      </w:r>
      <w:r w:rsidR="00146E94">
        <w:t>.</w:t>
      </w:r>
      <w:r w:rsidR="003B426C">
        <w:t>........................</w:t>
      </w:r>
    </w:p>
    <w:p w14:paraId="6326BCF7" w14:textId="602C3A5A" w:rsidR="003B426C" w:rsidRDefault="003B426C" w:rsidP="003B426C">
      <w:pPr>
        <w:spacing w:after="0"/>
      </w:pPr>
    </w:p>
    <w:p w14:paraId="1D7D44A4" w14:textId="77777777" w:rsidR="00906ABA" w:rsidRDefault="00906ABA" w:rsidP="003B426C">
      <w:pPr>
        <w:spacing w:after="0"/>
      </w:pPr>
    </w:p>
    <w:p w14:paraId="2A596967" w14:textId="3AF5D67E"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D95310"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530612" w:rsidRPr="00BB4A24">
        <w:rPr>
          <w:rFonts w:cstheme="minorHAnsi"/>
          <w:sz w:val="20"/>
          <w:szCs w:val="20"/>
        </w:rPr>
        <w:t>________________________________________</w:t>
      </w:r>
    </w:p>
    <w:p w14:paraId="3D0675E5" w14:textId="77777777" w:rsidR="001C5D51" w:rsidRPr="00BB4A24"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 xml:space="preserve">Objednatel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Zhotovitel</w:t>
      </w:r>
    </w:p>
    <w:p w14:paraId="3BE5B58C" w14:textId="77777777" w:rsidR="001C5D51"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p>
    <w:p w14:paraId="76729027" w14:textId="77777777" w:rsidR="001C5D51" w:rsidRDefault="001C5D51" w:rsidP="001C5D51">
      <w:pPr>
        <w:widowControl w:val="0"/>
        <w:tabs>
          <w:tab w:val="left" w:pos="2835"/>
        </w:tabs>
        <w:spacing w:after="0"/>
        <w:ind w:right="176"/>
        <w:rPr>
          <w:szCs w:val="22"/>
        </w:rPr>
      </w:pPr>
      <w:r>
        <w:rPr>
          <w:szCs w:val="22"/>
        </w:rPr>
        <w:t xml:space="preserve">                         Ing. František Hasoň</w:t>
      </w:r>
    </w:p>
    <w:p w14:paraId="2225CB89" w14:textId="24110F45" w:rsidR="001D48D9" w:rsidRDefault="001C5D51" w:rsidP="001C5D51">
      <w:pPr>
        <w:widowControl w:val="0"/>
        <w:tabs>
          <w:tab w:val="left" w:pos="2835"/>
        </w:tabs>
        <w:spacing w:after="0"/>
        <w:ind w:right="176"/>
        <w:rPr>
          <w:rFonts w:cstheme="minorHAnsi"/>
        </w:rPr>
      </w:pPr>
      <w:r>
        <w:rPr>
          <w:szCs w:val="22"/>
        </w:rPr>
        <w:t xml:space="preserve">                Člen rady Jihomoravského kraje</w:t>
      </w:r>
      <w:r>
        <w:rPr>
          <w:rFonts w:cstheme="minorHAnsi"/>
        </w:rPr>
        <w:tab/>
      </w:r>
      <w:r>
        <w:rPr>
          <w:rFonts w:cstheme="minorHAnsi"/>
        </w:rPr>
        <w:tab/>
        <w:t xml:space="preserve">              </w:t>
      </w:r>
      <w:r w:rsidRPr="00EA3902">
        <w:rPr>
          <w:rFonts w:cstheme="minorHAnsi"/>
          <w:highlight w:val="yellow"/>
        </w:rPr>
        <w:t>………</w:t>
      </w:r>
      <w:proofErr w:type="gramStart"/>
      <w:r w:rsidRPr="00EA3902">
        <w:rPr>
          <w:rFonts w:cstheme="minorHAnsi"/>
          <w:highlight w:val="yellow"/>
        </w:rPr>
        <w:t>…….</w:t>
      </w:r>
      <w:proofErr w:type="gramEnd"/>
      <w:r w:rsidRPr="00EA3902">
        <w:rPr>
          <w:rFonts w:cstheme="minorHAnsi"/>
          <w:highlight w:val="yellow"/>
        </w:rPr>
        <w:t>.……………………………………</w:t>
      </w:r>
      <w:r>
        <w:rPr>
          <w:rFonts w:cstheme="minorHAnsi"/>
        </w:rPr>
        <w:t xml:space="preserve">      </w:t>
      </w:r>
    </w:p>
    <w:p w14:paraId="47247854" w14:textId="77777777" w:rsidR="0071305A" w:rsidRDefault="0071305A" w:rsidP="00AD572B">
      <w:pPr>
        <w:widowControl w:val="0"/>
        <w:tabs>
          <w:tab w:val="left" w:pos="2835"/>
        </w:tabs>
        <w:spacing w:after="0"/>
        <w:ind w:right="176"/>
        <w:rPr>
          <w:rFonts w:cstheme="minorHAnsi"/>
        </w:rPr>
      </w:pPr>
    </w:p>
    <w:p w14:paraId="0C37C575" w14:textId="77777777" w:rsidR="0071305A" w:rsidRDefault="0071305A" w:rsidP="00AD572B">
      <w:pPr>
        <w:widowControl w:val="0"/>
        <w:tabs>
          <w:tab w:val="left" w:pos="2835"/>
        </w:tabs>
        <w:spacing w:after="0"/>
        <w:ind w:right="176"/>
        <w:rPr>
          <w:rFonts w:cstheme="minorHAnsi"/>
        </w:rPr>
      </w:pPr>
    </w:p>
    <w:p w14:paraId="6F3C9068" w14:textId="77777777" w:rsidR="0071305A" w:rsidRPr="00AD572B" w:rsidRDefault="0071305A" w:rsidP="00AD572B">
      <w:pPr>
        <w:widowControl w:val="0"/>
        <w:tabs>
          <w:tab w:val="left" w:pos="2835"/>
        </w:tabs>
        <w:spacing w:after="0"/>
        <w:ind w:right="176"/>
        <w:rPr>
          <w:rFonts w:cstheme="minorHAnsi"/>
        </w:rPr>
      </w:pPr>
    </w:p>
    <w:sectPr w:rsidR="0071305A" w:rsidRPr="00AD572B" w:rsidSect="00C5046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14F18" w14:textId="77777777" w:rsidR="000B17D3" w:rsidRDefault="000B17D3" w:rsidP="00F50F21">
      <w:pPr>
        <w:spacing w:after="0"/>
      </w:pPr>
      <w:r>
        <w:separator/>
      </w:r>
    </w:p>
  </w:endnote>
  <w:endnote w:type="continuationSeparator" w:id="0">
    <w:p w14:paraId="1D309CE9" w14:textId="77777777" w:rsidR="000B17D3" w:rsidRDefault="000B17D3" w:rsidP="00F50F21">
      <w:pPr>
        <w:spacing w:after="0"/>
      </w:pPr>
      <w:r>
        <w:continuationSeparator/>
      </w:r>
    </w:p>
  </w:endnote>
  <w:endnote w:type="continuationNotice" w:id="1">
    <w:p w14:paraId="4047CC00" w14:textId="77777777" w:rsidR="000B17D3" w:rsidRDefault="000B17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923AF" w14:textId="77777777" w:rsidR="000B17D3" w:rsidRDefault="000B17D3" w:rsidP="00F50F21">
      <w:pPr>
        <w:spacing w:after="0"/>
      </w:pPr>
      <w:r>
        <w:separator/>
      </w:r>
    </w:p>
  </w:footnote>
  <w:footnote w:type="continuationSeparator" w:id="0">
    <w:p w14:paraId="098B7CB9" w14:textId="77777777" w:rsidR="000B17D3" w:rsidRDefault="000B17D3" w:rsidP="00F50F21">
      <w:pPr>
        <w:spacing w:after="0"/>
      </w:pPr>
      <w:r>
        <w:continuationSeparator/>
      </w:r>
    </w:p>
  </w:footnote>
  <w:footnote w:type="continuationNotice" w:id="1">
    <w:p w14:paraId="75EEA33E" w14:textId="77777777" w:rsidR="000B17D3" w:rsidRDefault="000B17D3">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37D9"/>
    <w:rsid w:val="00083CD0"/>
    <w:rsid w:val="00085AF8"/>
    <w:rsid w:val="000A0497"/>
    <w:rsid w:val="000A05B9"/>
    <w:rsid w:val="000A3BA0"/>
    <w:rsid w:val="000A4355"/>
    <w:rsid w:val="000B131C"/>
    <w:rsid w:val="000B17D3"/>
    <w:rsid w:val="000B264C"/>
    <w:rsid w:val="000C1368"/>
    <w:rsid w:val="000C438C"/>
    <w:rsid w:val="000D06AA"/>
    <w:rsid w:val="000D7655"/>
    <w:rsid w:val="000D7A0C"/>
    <w:rsid w:val="000E65E4"/>
    <w:rsid w:val="000F2ABC"/>
    <w:rsid w:val="000F3BBD"/>
    <w:rsid w:val="000F7D36"/>
    <w:rsid w:val="00103DBB"/>
    <w:rsid w:val="00104029"/>
    <w:rsid w:val="0010417B"/>
    <w:rsid w:val="00106B0F"/>
    <w:rsid w:val="001121C3"/>
    <w:rsid w:val="00116E76"/>
    <w:rsid w:val="00117217"/>
    <w:rsid w:val="00125289"/>
    <w:rsid w:val="0012633D"/>
    <w:rsid w:val="00132B3A"/>
    <w:rsid w:val="00132D21"/>
    <w:rsid w:val="001359E6"/>
    <w:rsid w:val="00143E53"/>
    <w:rsid w:val="00145E9D"/>
    <w:rsid w:val="00146E94"/>
    <w:rsid w:val="0014787D"/>
    <w:rsid w:val="001532BE"/>
    <w:rsid w:val="00155A85"/>
    <w:rsid w:val="00157621"/>
    <w:rsid w:val="001704F7"/>
    <w:rsid w:val="00172134"/>
    <w:rsid w:val="00173E2B"/>
    <w:rsid w:val="00180A55"/>
    <w:rsid w:val="001872FC"/>
    <w:rsid w:val="001940EC"/>
    <w:rsid w:val="0019412E"/>
    <w:rsid w:val="001A493D"/>
    <w:rsid w:val="001B1483"/>
    <w:rsid w:val="001C004B"/>
    <w:rsid w:val="001C5D51"/>
    <w:rsid w:val="001D48D9"/>
    <w:rsid w:val="001D51F8"/>
    <w:rsid w:val="001D5368"/>
    <w:rsid w:val="001E1E84"/>
    <w:rsid w:val="001E2244"/>
    <w:rsid w:val="001E5A6E"/>
    <w:rsid w:val="001F0B1B"/>
    <w:rsid w:val="001F1DE7"/>
    <w:rsid w:val="001F5B36"/>
    <w:rsid w:val="002006C9"/>
    <w:rsid w:val="002130B2"/>
    <w:rsid w:val="00214E51"/>
    <w:rsid w:val="00216609"/>
    <w:rsid w:val="002209C0"/>
    <w:rsid w:val="00227992"/>
    <w:rsid w:val="00231211"/>
    <w:rsid w:val="00231F1E"/>
    <w:rsid w:val="00232194"/>
    <w:rsid w:val="002325C6"/>
    <w:rsid w:val="00237575"/>
    <w:rsid w:val="00240234"/>
    <w:rsid w:val="00243980"/>
    <w:rsid w:val="0024439E"/>
    <w:rsid w:val="00245667"/>
    <w:rsid w:val="002513D9"/>
    <w:rsid w:val="00253C1B"/>
    <w:rsid w:val="00254BA4"/>
    <w:rsid w:val="002567B0"/>
    <w:rsid w:val="00260B96"/>
    <w:rsid w:val="00264951"/>
    <w:rsid w:val="002714CA"/>
    <w:rsid w:val="00281AB3"/>
    <w:rsid w:val="00281D59"/>
    <w:rsid w:val="002833AE"/>
    <w:rsid w:val="00294CA4"/>
    <w:rsid w:val="002A2D22"/>
    <w:rsid w:val="002B3501"/>
    <w:rsid w:val="002B439E"/>
    <w:rsid w:val="002B62D4"/>
    <w:rsid w:val="002C4E12"/>
    <w:rsid w:val="002D0A5E"/>
    <w:rsid w:val="002D669F"/>
    <w:rsid w:val="002E37D4"/>
    <w:rsid w:val="002E690B"/>
    <w:rsid w:val="002F76E2"/>
    <w:rsid w:val="0030635C"/>
    <w:rsid w:val="00327B33"/>
    <w:rsid w:val="00331315"/>
    <w:rsid w:val="00331C22"/>
    <w:rsid w:val="00333B3F"/>
    <w:rsid w:val="0033620A"/>
    <w:rsid w:val="00337DE8"/>
    <w:rsid w:val="00353772"/>
    <w:rsid w:val="00365493"/>
    <w:rsid w:val="00366F9E"/>
    <w:rsid w:val="00367D5E"/>
    <w:rsid w:val="00372C67"/>
    <w:rsid w:val="003748F4"/>
    <w:rsid w:val="00374EA3"/>
    <w:rsid w:val="00375972"/>
    <w:rsid w:val="00383CCA"/>
    <w:rsid w:val="00384616"/>
    <w:rsid w:val="00386A2D"/>
    <w:rsid w:val="003926EA"/>
    <w:rsid w:val="0039324D"/>
    <w:rsid w:val="00395070"/>
    <w:rsid w:val="003A007A"/>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802B7"/>
    <w:rsid w:val="0048338C"/>
    <w:rsid w:val="00487DE3"/>
    <w:rsid w:val="004910BA"/>
    <w:rsid w:val="00494E55"/>
    <w:rsid w:val="004952B9"/>
    <w:rsid w:val="004977A9"/>
    <w:rsid w:val="004A0049"/>
    <w:rsid w:val="004A2395"/>
    <w:rsid w:val="004B175E"/>
    <w:rsid w:val="004C5CD4"/>
    <w:rsid w:val="004D2516"/>
    <w:rsid w:val="004D51AB"/>
    <w:rsid w:val="004E522F"/>
    <w:rsid w:val="004F67B9"/>
    <w:rsid w:val="00512CEE"/>
    <w:rsid w:val="0051757F"/>
    <w:rsid w:val="005179A4"/>
    <w:rsid w:val="00517AF3"/>
    <w:rsid w:val="0052239C"/>
    <w:rsid w:val="00524519"/>
    <w:rsid w:val="005245B0"/>
    <w:rsid w:val="00525F15"/>
    <w:rsid w:val="0052612C"/>
    <w:rsid w:val="00530612"/>
    <w:rsid w:val="005346C3"/>
    <w:rsid w:val="00537787"/>
    <w:rsid w:val="00540895"/>
    <w:rsid w:val="00542E65"/>
    <w:rsid w:val="0054694A"/>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19E8"/>
    <w:rsid w:val="005B217D"/>
    <w:rsid w:val="005B3FCF"/>
    <w:rsid w:val="005C2887"/>
    <w:rsid w:val="005D0745"/>
    <w:rsid w:val="005D202C"/>
    <w:rsid w:val="005D35BA"/>
    <w:rsid w:val="005D4A88"/>
    <w:rsid w:val="005D79FF"/>
    <w:rsid w:val="005E319F"/>
    <w:rsid w:val="005F26C6"/>
    <w:rsid w:val="005F50FF"/>
    <w:rsid w:val="005F519C"/>
    <w:rsid w:val="005F5870"/>
    <w:rsid w:val="006001B1"/>
    <w:rsid w:val="00601F0D"/>
    <w:rsid w:val="00612AEA"/>
    <w:rsid w:val="00613424"/>
    <w:rsid w:val="00624E1E"/>
    <w:rsid w:val="006258E9"/>
    <w:rsid w:val="006318EE"/>
    <w:rsid w:val="00633928"/>
    <w:rsid w:val="006369BC"/>
    <w:rsid w:val="00650810"/>
    <w:rsid w:val="006533E3"/>
    <w:rsid w:val="00661CA8"/>
    <w:rsid w:val="00663614"/>
    <w:rsid w:val="00664257"/>
    <w:rsid w:val="00667C9A"/>
    <w:rsid w:val="006742F2"/>
    <w:rsid w:val="00680484"/>
    <w:rsid w:val="00681865"/>
    <w:rsid w:val="00693877"/>
    <w:rsid w:val="006A0458"/>
    <w:rsid w:val="006A3990"/>
    <w:rsid w:val="006A6E3B"/>
    <w:rsid w:val="006A7785"/>
    <w:rsid w:val="006B1D94"/>
    <w:rsid w:val="006B21FF"/>
    <w:rsid w:val="006B3E22"/>
    <w:rsid w:val="006C0673"/>
    <w:rsid w:val="006C3B25"/>
    <w:rsid w:val="006C4DC8"/>
    <w:rsid w:val="006C7FBE"/>
    <w:rsid w:val="006D1273"/>
    <w:rsid w:val="006D46E0"/>
    <w:rsid w:val="006D55EE"/>
    <w:rsid w:val="006E12A0"/>
    <w:rsid w:val="006E5043"/>
    <w:rsid w:val="006E52B3"/>
    <w:rsid w:val="006E566E"/>
    <w:rsid w:val="006F4BB2"/>
    <w:rsid w:val="00700145"/>
    <w:rsid w:val="0070133B"/>
    <w:rsid w:val="007059C4"/>
    <w:rsid w:val="0071305A"/>
    <w:rsid w:val="00722C33"/>
    <w:rsid w:val="00723E37"/>
    <w:rsid w:val="007306C5"/>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93EDE"/>
    <w:rsid w:val="007A3F03"/>
    <w:rsid w:val="007C314E"/>
    <w:rsid w:val="007D315E"/>
    <w:rsid w:val="007D3649"/>
    <w:rsid w:val="007D60D9"/>
    <w:rsid w:val="007D6EA1"/>
    <w:rsid w:val="007F0A63"/>
    <w:rsid w:val="007F15DD"/>
    <w:rsid w:val="007F28F8"/>
    <w:rsid w:val="007F6D76"/>
    <w:rsid w:val="007F72FD"/>
    <w:rsid w:val="008057F2"/>
    <w:rsid w:val="00814CD1"/>
    <w:rsid w:val="0081723D"/>
    <w:rsid w:val="00817393"/>
    <w:rsid w:val="00817987"/>
    <w:rsid w:val="00830DBF"/>
    <w:rsid w:val="008324FA"/>
    <w:rsid w:val="00837EE5"/>
    <w:rsid w:val="00841B5B"/>
    <w:rsid w:val="00852D73"/>
    <w:rsid w:val="00856354"/>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0BF1"/>
    <w:rsid w:val="008E2A67"/>
    <w:rsid w:val="008E2E87"/>
    <w:rsid w:val="008E6EE1"/>
    <w:rsid w:val="008E79AB"/>
    <w:rsid w:val="008F11EE"/>
    <w:rsid w:val="008F4092"/>
    <w:rsid w:val="008F5B62"/>
    <w:rsid w:val="008F7596"/>
    <w:rsid w:val="009067B8"/>
    <w:rsid w:val="00906ABA"/>
    <w:rsid w:val="009078C9"/>
    <w:rsid w:val="00910FCE"/>
    <w:rsid w:val="009123FD"/>
    <w:rsid w:val="009208B4"/>
    <w:rsid w:val="00924FFD"/>
    <w:rsid w:val="009306DF"/>
    <w:rsid w:val="00931F82"/>
    <w:rsid w:val="00932F7C"/>
    <w:rsid w:val="009339FD"/>
    <w:rsid w:val="00935E2B"/>
    <w:rsid w:val="0093738B"/>
    <w:rsid w:val="009412E2"/>
    <w:rsid w:val="009473E8"/>
    <w:rsid w:val="009517DC"/>
    <w:rsid w:val="00956301"/>
    <w:rsid w:val="009648E0"/>
    <w:rsid w:val="009679FD"/>
    <w:rsid w:val="00976134"/>
    <w:rsid w:val="009761F2"/>
    <w:rsid w:val="00991FAA"/>
    <w:rsid w:val="0099359C"/>
    <w:rsid w:val="009950F8"/>
    <w:rsid w:val="009951E3"/>
    <w:rsid w:val="009A124C"/>
    <w:rsid w:val="009A5F75"/>
    <w:rsid w:val="009A7E3A"/>
    <w:rsid w:val="009B0006"/>
    <w:rsid w:val="009B0ABB"/>
    <w:rsid w:val="009C13A4"/>
    <w:rsid w:val="009C145D"/>
    <w:rsid w:val="009C3912"/>
    <w:rsid w:val="009C66BE"/>
    <w:rsid w:val="009D03FA"/>
    <w:rsid w:val="009D05A8"/>
    <w:rsid w:val="009D4B94"/>
    <w:rsid w:val="009E1E08"/>
    <w:rsid w:val="009F0230"/>
    <w:rsid w:val="009F26B4"/>
    <w:rsid w:val="009F6B0A"/>
    <w:rsid w:val="009F75EE"/>
    <w:rsid w:val="00A0797E"/>
    <w:rsid w:val="00A16696"/>
    <w:rsid w:val="00A16806"/>
    <w:rsid w:val="00A16CD6"/>
    <w:rsid w:val="00A25073"/>
    <w:rsid w:val="00A31CEE"/>
    <w:rsid w:val="00A34BE0"/>
    <w:rsid w:val="00A418C7"/>
    <w:rsid w:val="00A43852"/>
    <w:rsid w:val="00A50E5E"/>
    <w:rsid w:val="00A53D31"/>
    <w:rsid w:val="00A6538A"/>
    <w:rsid w:val="00A65438"/>
    <w:rsid w:val="00A65936"/>
    <w:rsid w:val="00A66558"/>
    <w:rsid w:val="00A71D89"/>
    <w:rsid w:val="00A769F8"/>
    <w:rsid w:val="00A77F81"/>
    <w:rsid w:val="00A81722"/>
    <w:rsid w:val="00A82F61"/>
    <w:rsid w:val="00A83084"/>
    <w:rsid w:val="00A840F8"/>
    <w:rsid w:val="00A9150A"/>
    <w:rsid w:val="00A95639"/>
    <w:rsid w:val="00AA4E29"/>
    <w:rsid w:val="00AA6FC7"/>
    <w:rsid w:val="00AA76EC"/>
    <w:rsid w:val="00AB581D"/>
    <w:rsid w:val="00AB5B0B"/>
    <w:rsid w:val="00AB5EC8"/>
    <w:rsid w:val="00AC13EB"/>
    <w:rsid w:val="00AC22FE"/>
    <w:rsid w:val="00AC3145"/>
    <w:rsid w:val="00AC7777"/>
    <w:rsid w:val="00AD06E6"/>
    <w:rsid w:val="00AD572B"/>
    <w:rsid w:val="00AE0612"/>
    <w:rsid w:val="00AF094A"/>
    <w:rsid w:val="00AF4C0A"/>
    <w:rsid w:val="00B03F33"/>
    <w:rsid w:val="00B04AA3"/>
    <w:rsid w:val="00B04E31"/>
    <w:rsid w:val="00B06400"/>
    <w:rsid w:val="00B066AF"/>
    <w:rsid w:val="00B12866"/>
    <w:rsid w:val="00B14606"/>
    <w:rsid w:val="00B15C5B"/>
    <w:rsid w:val="00B17F31"/>
    <w:rsid w:val="00B25B7E"/>
    <w:rsid w:val="00B33DE8"/>
    <w:rsid w:val="00B4302C"/>
    <w:rsid w:val="00B43B6A"/>
    <w:rsid w:val="00B463A7"/>
    <w:rsid w:val="00B47152"/>
    <w:rsid w:val="00B50B00"/>
    <w:rsid w:val="00B52AA8"/>
    <w:rsid w:val="00B55A6D"/>
    <w:rsid w:val="00B55F95"/>
    <w:rsid w:val="00B61291"/>
    <w:rsid w:val="00B613B3"/>
    <w:rsid w:val="00B65088"/>
    <w:rsid w:val="00B650D5"/>
    <w:rsid w:val="00B77A27"/>
    <w:rsid w:val="00B77EC6"/>
    <w:rsid w:val="00B82225"/>
    <w:rsid w:val="00B83B11"/>
    <w:rsid w:val="00B92BB5"/>
    <w:rsid w:val="00B949C6"/>
    <w:rsid w:val="00B9514F"/>
    <w:rsid w:val="00B9540E"/>
    <w:rsid w:val="00B95B94"/>
    <w:rsid w:val="00B97209"/>
    <w:rsid w:val="00BA3348"/>
    <w:rsid w:val="00BA4C39"/>
    <w:rsid w:val="00BA6156"/>
    <w:rsid w:val="00BB14CC"/>
    <w:rsid w:val="00BB1BC2"/>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0463"/>
    <w:rsid w:val="00C519CA"/>
    <w:rsid w:val="00C61DB3"/>
    <w:rsid w:val="00C62FF1"/>
    <w:rsid w:val="00C75C34"/>
    <w:rsid w:val="00C91C6A"/>
    <w:rsid w:val="00C93E33"/>
    <w:rsid w:val="00C9415D"/>
    <w:rsid w:val="00C94921"/>
    <w:rsid w:val="00C94F64"/>
    <w:rsid w:val="00C97EFA"/>
    <w:rsid w:val="00CA3F0E"/>
    <w:rsid w:val="00CC0AF5"/>
    <w:rsid w:val="00CC2D71"/>
    <w:rsid w:val="00CC4D35"/>
    <w:rsid w:val="00CC5DF2"/>
    <w:rsid w:val="00CC693D"/>
    <w:rsid w:val="00CC7459"/>
    <w:rsid w:val="00CD3273"/>
    <w:rsid w:val="00CD3D2F"/>
    <w:rsid w:val="00CD501D"/>
    <w:rsid w:val="00CD7376"/>
    <w:rsid w:val="00CD76C9"/>
    <w:rsid w:val="00CE3188"/>
    <w:rsid w:val="00CE518B"/>
    <w:rsid w:val="00D05EBF"/>
    <w:rsid w:val="00D1018C"/>
    <w:rsid w:val="00D1161A"/>
    <w:rsid w:val="00D20901"/>
    <w:rsid w:val="00D22793"/>
    <w:rsid w:val="00D23B2A"/>
    <w:rsid w:val="00D23C2B"/>
    <w:rsid w:val="00D253CE"/>
    <w:rsid w:val="00D253F0"/>
    <w:rsid w:val="00D25BB8"/>
    <w:rsid w:val="00D268C7"/>
    <w:rsid w:val="00D311D0"/>
    <w:rsid w:val="00D324AE"/>
    <w:rsid w:val="00D360EA"/>
    <w:rsid w:val="00D4571A"/>
    <w:rsid w:val="00D45A1E"/>
    <w:rsid w:val="00D46100"/>
    <w:rsid w:val="00D46D36"/>
    <w:rsid w:val="00D479D4"/>
    <w:rsid w:val="00D47AEE"/>
    <w:rsid w:val="00D50567"/>
    <w:rsid w:val="00D6294C"/>
    <w:rsid w:val="00D63115"/>
    <w:rsid w:val="00D65894"/>
    <w:rsid w:val="00D65D18"/>
    <w:rsid w:val="00D65DBB"/>
    <w:rsid w:val="00D80BC5"/>
    <w:rsid w:val="00D90D41"/>
    <w:rsid w:val="00D919F5"/>
    <w:rsid w:val="00D91B51"/>
    <w:rsid w:val="00D95310"/>
    <w:rsid w:val="00D9664E"/>
    <w:rsid w:val="00DA0C17"/>
    <w:rsid w:val="00DA0D4A"/>
    <w:rsid w:val="00DA261F"/>
    <w:rsid w:val="00DA428B"/>
    <w:rsid w:val="00DA6D7B"/>
    <w:rsid w:val="00DB2D0F"/>
    <w:rsid w:val="00DB5AAE"/>
    <w:rsid w:val="00DC0521"/>
    <w:rsid w:val="00DC35EC"/>
    <w:rsid w:val="00DC4AA8"/>
    <w:rsid w:val="00DC5B91"/>
    <w:rsid w:val="00DC7D58"/>
    <w:rsid w:val="00DD4B94"/>
    <w:rsid w:val="00DD60FC"/>
    <w:rsid w:val="00DE48AF"/>
    <w:rsid w:val="00DE561C"/>
    <w:rsid w:val="00DE5BE4"/>
    <w:rsid w:val="00DF3DD6"/>
    <w:rsid w:val="00DF5072"/>
    <w:rsid w:val="00E00AAB"/>
    <w:rsid w:val="00E03C60"/>
    <w:rsid w:val="00E049F6"/>
    <w:rsid w:val="00E05846"/>
    <w:rsid w:val="00E0687D"/>
    <w:rsid w:val="00E12BE9"/>
    <w:rsid w:val="00E14443"/>
    <w:rsid w:val="00E16373"/>
    <w:rsid w:val="00E16BE9"/>
    <w:rsid w:val="00E201DE"/>
    <w:rsid w:val="00E215A3"/>
    <w:rsid w:val="00E219D0"/>
    <w:rsid w:val="00E222BE"/>
    <w:rsid w:val="00E23CB9"/>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03FE"/>
    <w:rsid w:val="00ED05E3"/>
    <w:rsid w:val="00ED4CD6"/>
    <w:rsid w:val="00ED5A93"/>
    <w:rsid w:val="00EE056B"/>
    <w:rsid w:val="00EE08B3"/>
    <w:rsid w:val="00EE1191"/>
    <w:rsid w:val="00EF33AC"/>
    <w:rsid w:val="00F01998"/>
    <w:rsid w:val="00F10A15"/>
    <w:rsid w:val="00F15F33"/>
    <w:rsid w:val="00F1788F"/>
    <w:rsid w:val="00F206C8"/>
    <w:rsid w:val="00F21AAB"/>
    <w:rsid w:val="00F221AB"/>
    <w:rsid w:val="00F2327C"/>
    <w:rsid w:val="00F26967"/>
    <w:rsid w:val="00F378F3"/>
    <w:rsid w:val="00F46B16"/>
    <w:rsid w:val="00F47420"/>
    <w:rsid w:val="00F50F21"/>
    <w:rsid w:val="00F550C2"/>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A782F"/>
    <w:rsid w:val="00FB5C50"/>
    <w:rsid w:val="00FC4217"/>
    <w:rsid w:val="00FC5356"/>
    <w:rsid w:val="00FC548B"/>
    <w:rsid w:val="00FC7BB0"/>
    <w:rsid w:val="00FD25B1"/>
    <w:rsid w:val="00FD6EBC"/>
    <w:rsid w:val="00FE0E48"/>
    <w:rsid w:val="00FE26E1"/>
    <w:rsid w:val="00FE7124"/>
    <w:rsid w:val="00FE7F8D"/>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sta@kr-jihomoravsk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issova.eva@jm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mar.radim@jm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8" ma:contentTypeDescription="Vytvoří nový dokument" ma:contentTypeScope="" ma:versionID="89bee78b406ca1e80ef0640723071c44">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2eee9a5776c8fcd10cc40b9c866f0397"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2.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3.xml><?xml version="1.0" encoding="utf-8"?>
<ds:datastoreItem xmlns:ds="http://schemas.openxmlformats.org/officeDocument/2006/customXml" ds:itemID="{C84347BE-2D06-407D-BD0B-1F82B3B04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docMetadata/LabelInfo.xml><?xml version="1.0" encoding="utf-8"?>
<clbl:labelList xmlns:clbl="http://schemas.microsoft.com/office/2020/mipLabelMetadata">
  <clbl:label id="{690ebb53-23a2-471a-9c6e-17bd0d11311e}" enabled="1" method="Privilege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Normal.dotm</Template>
  <TotalTime>756</TotalTime>
  <Pages>7</Pages>
  <Words>2798</Words>
  <Characters>16509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19269</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297</cp:revision>
  <dcterms:created xsi:type="dcterms:W3CDTF">2024-02-16T00:03:00Z</dcterms:created>
  <dcterms:modified xsi:type="dcterms:W3CDTF">2025-09-08T11:16:00Z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