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2294C76A" w14:textId="77777777" w:rsidR="00D424A5" w:rsidRPr="00D424A5" w:rsidRDefault="00D424A5" w:rsidP="00D424A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D424A5">
        <w:rPr>
          <w:rFonts w:ascii="Calibri" w:eastAsia="Calibri" w:hAnsi="Calibri" w:cs="Calibri"/>
        </w:rPr>
        <w:t>Název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Zateplení objektu SPC, výměna oken</w:t>
      </w:r>
    </w:p>
    <w:p w14:paraId="40B2FC42" w14:textId="77777777" w:rsidR="00D424A5" w:rsidRPr="00D424A5" w:rsidRDefault="00D424A5" w:rsidP="00D424A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Zadavatel: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Základní škola Brno, Sekaninova, příspěvková organizace</w:t>
      </w:r>
    </w:p>
    <w:p w14:paraId="2D844625" w14:textId="77777777" w:rsidR="00D424A5" w:rsidRPr="00D424A5" w:rsidRDefault="00D424A5" w:rsidP="00D424A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D424A5">
        <w:rPr>
          <w:rFonts w:ascii="Calibri" w:eastAsia="Calibri" w:hAnsi="Calibri" w:cs="Calibri"/>
        </w:rPr>
        <w:t>IČ zadavatele:</w:t>
      </w:r>
      <w:r w:rsidRPr="00D424A5">
        <w:rPr>
          <w:rFonts w:ascii="Calibri" w:eastAsia="Calibri" w:hAnsi="Calibri" w:cs="Calibri"/>
        </w:rPr>
        <w:tab/>
      </w:r>
      <w:bookmarkStart w:id="1" w:name="_Hlk209971810"/>
      <w:r w:rsidRPr="00D424A5">
        <w:rPr>
          <w:rFonts w:ascii="Calibri" w:eastAsia="Calibri" w:hAnsi="Calibri" w:cs="Calibri"/>
          <w:b/>
          <w:shd w:val="clear" w:color="auto" w:fill="FFFFFF"/>
        </w:rPr>
        <w:t>44993668</w:t>
      </w:r>
      <w:bookmarkEnd w:id="1"/>
    </w:p>
    <w:p w14:paraId="4683CEEF" w14:textId="77777777" w:rsidR="00D424A5" w:rsidRPr="00D424A5" w:rsidRDefault="00D424A5" w:rsidP="00D424A5">
      <w:pPr>
        <w:spacing w:after="0"/>
        <w:ind w:left="2835" w:hanging="2835"/>
        <w:rPr>
          <w:rFonts w:ascii="Calibri" w:eastAsia="Calibri" w:hAnsi="Calibri" w:cs="Calibri"/>
        </w:rPr>
      </w:pPr>
      <w:r w:rsidRPr="00D424A5">
        <w:rPr>
          <w:rFonts w:ascii="Calibri" w:eastAsia="Calibri" w:hAnsi="Calibri" w:cs="Calibri"/>
        </w:rPr>
        <w:t>Druh veřejné zakázky: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stavební práce</w:t>
      </w:r>
    </w:p>
    <w:p w14:paraId="49A68A54" w14:textId="77777777" w:rsidR="00D424A5" w:rsidRPr="00D424A5" w:rsidRDefault="00D424A5" w:rsidP="00D424A5">
      <w:pPr>
        <w:spacing w:after="0"/>
        <w:rPr>
          <w:rFonts w:ascii="Calibri" w:eastAsia="Calibri" w:hAnsi="Calibri" w:cs="Calibri"/>
          <w:b/>
        </w:rPr>
      </w:pPr>
      <w:r w:rsidRPr="00D424A5">
        <w:rPr>
          <w:rFonts w:ascii="Calibri" w:eastAsia="Calibri" w:hAnsi="Calibri" w:cs="Calibri"/>
        </w:rPr>
        <w:t>Druh výběrového řízení:</w:t>
      </w:r>
      <w:r w:rsidRPr="00D424A5">
        <w:rPr>
          <w:rFonts w:ascii="Calibri" w:eastAsia="Calibri" w:hAnsi="Calibri" w:cs="Calibri"/>
        </w:rPr>
        <w:tab/>
      </w:r>
      <w:r w:rsidRPr="00D424A5">
        <w:rPr>
          <w:rFonts w:ascii="Calibri" w:eastAsia="Calibri" w:hAnsi="Calibri" w:cs="Calibri"/>
          <w:b/>
        </w:rPr>
        <w:t>veřejná</w:t>
      </w:r>
      <w:r w:rsidRPr="00D424A5">
        <w:rPr>
          <w:rFonts w:ascii="Calibri" w:eastAsia="Calibri" w:hAnsi="Calibri" w:cs="Calibri"/>
        </w:rPr>
        <w:t xml:space="preserve"> </w:t>
      </w:r>
      <w:r w:rsidRPr="00D424A5">
        <w:rPr>
          <w:rFonts w:ascii="Calibri" w:eastAsia="Calibri" w:hAnsi="Calibri" w:cs="Calibri"/>
          <w:b/>
        </w:rPr>
        <w:t>zakázka malého rozsahu</w:t>
      </w:r>
    </w:p>
    <w:bookmarkEnd w:id="0"/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6C37A4FD" w14:textId="5ADEA27F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práce, </w:t>
      </w:r>
      <w:r w:rsidRPr="0028757C">
        <w:rPr>
          <w:rFonts w:ascii="Calibri" w:eastAsia="Calibri" w:hAnsi="Calibri" w:cs="Times New Roman"/>
        </w:rPr>
        <w:t xml:space="preserve">jejichž předmětem byla </w:t>
      </w:r>
      <w:r w:rsidR="0070094F">
        <w:rPr>
          <w:rFonts w:ascii="Calibri" w:eastAsia="Calibri" w:hAnsi="Calibri" w:cs="Times New Roman"/>
        </w:rPr>
        <w:t>dodávka a montáž dřevěných výplní stavebních otvorů (okna, dveře)</w:t>
      </w:r>
      <w:r w:rsidRPr="0028757C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28757C">
        <w:rPr>
          <w:rFonts w:ascii="Calibri" w:eastAsia="Calibri" w:hAnsi="Calibri" w:cs="Calibri"/>
        </w:rPr>
        <w:t>u nichž hodnota stavebních prací</w:t>
      </w:r>
      <w:r w:rsidR="0070094F">
        <w:rPr>
          <w:rFonts w:ascii="Calibri" w:eastAsia="Calibri" w:hAnsi="Calibri" w:cs="Calibri"/>
        </w:rPr>
        <w:t xml:space="preserve"> přímo spojených s dodávkou a montáží venkovních výplní otvorů</w:t>
      </w:r>
      <w:r w:rsidRPr="0028757C">
        <w:rPr>
          <w:rFonts w:ascii="Calibri" w:eastAsia="Calibri" w:hAnsi="Calibri" w:cs="Calibri"/>
        </w:rPr>
        <w:t xml:space="preserve"> u každé z nich převýšila částku </w:t>
      </w:r>
      <w:r w:rsidR="00D424A5">
        <w:rPr>
          <w:rFonts w:ascii="Calibri" w:eastAsia="Calibri" w:hAnsi="Calibri" w:cs="Calibri"/>
        </w:rPr>
        <w:t>1,0</w:t>
      </w:r>
      <w:r>
        <w:rPr>
          <w:rFonts w:ascii="Calibri" w:eastAsia="Calibri" w:hAnsi="Calibri" w:cs="Calibri"/>
        </w:rPr>
        <w:t xml:space="preserve"> mil.</w:t>
      </w:r>
      <w:r w:rsidRPr="0028757C">
        <w:rPr>
          <w:rFonts w:ascii="Calibri" w:eastAsia="Calibri" w:hAnsi="Calibri" w:cs="Calibri"/>
        </w:rPr>
        <w:t xml:space="preserve">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7564" w14:textId="77777777" w:rsidR="00F80A90" w:rsidRDefault="00F80A90" w:rsidP="0000671A">
      <w:pPr>
        <w:spacing w:after="0" w:line="240" w:lineRule="auto"/>
      </w:pPr>
      <w:r>
        <w:separator/>
      </w:r>
    </w:p>
  </w:endnote>
  <w:endnote w:type="continuationSeparator" w:id="0">
    <w:p w14:paraId="4869131D" w14:textId="77777777" w:rsidR="00F80A90" w:rsidRDefault="00F80A90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90AF" w14:textId="77777777" w:rsidR="00F80A90" w:rsidRDefault="00F80A90" w:rsidP="0000671A">
      <w:pPr>
        <w:spacing w:after="0" w:line="240" w:lineRule="auto"/>
      </w:pPr>
      <w:r>
        <w:separator/>
      </w:r>
    </w:p>
  </w:footnote>
  <w:footnote w:type="continuationSeparator" w:id="0">
    <w:p w14:paraId="5304459E" w14:textId="77777777" w:rsidR="00F80A90" w:rsidRDefault="00F80A90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D03" w14:textId="5AB7EEA9" w:rsidR="001B136A" w:rsidRDefault="00992F0B" w:rsidP="001B136A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4C"/>
    <w:rsid w:val="0000671A"/>
    <w:rsid w:val="000A234C"/>
    <w:rsid w:val="001A6B21"/>
    <w:rsid w:val="001B136A"/>
    <w:rsid w:val="001C00EB"/>
    <w:rsid w:val="00267EA0"/>
    <w:rsid w:val="003F0AF9"/>
    <w:rsid w:val="00477E1B"/>
    <w:rsid w:val="00511BBE"/>
    <w:rsid w:val="00631F84"/>
    <w:rsid w:val="006A51A6"/>
    <w:rsid w:val="0070094F"/>
    <w:rsid w:val="00750A8F"/>
    <w:rsid w:val="00992F0B"/>
    <w:rsid w:val="009C1105"/>
    <w:rsid w:val="00A23E8C"/>
    <w:rsid w:val="00A5712B"/>
    <w:rsid w:val="00AA013B"/>
    <w:rsid w:val="00BE2B2A"/>
    <w:rsid w:val="00C869C1"/>
    <w:rsid w:val="00D424A5"/>
    <w:rsid w:val="00E83733"/>
    <w:rsid w:val="00EE5926"/>
    <w:rsid w:val="00F5603B"/>
    <w:rsid w:val="00F80A9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711DF-347B-4B4F-8BA9-00310A70B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29AB-5250-4307-BA04-E54A81CCDDD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369749AE-878E-47D9-99A2-AA892002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2023-03-27T14:13:00Z</dcterms:created>
  <dcterms:modified xsi:type="dcterms:W3CDTF">2025-09-28T15:59:00Z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