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2203052E" w14:textId="55D3BED6" w:rsidR="00773CB6" w:rsidRPr="00DD58C0" w:rsidRDefault="00773CB6" w:rsidP="00773CB6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„</w:t>
      </w:r>
      <w:r w:rsidR="00E20BA3" w:rsidRPr="00E20BA3">
        <w:rPr>
          <w:rFonts w:asciiTheme="minorHAnsi" w:hAnsiTheme="minorHAnsi" w:cstheme="minorHAnsi"/>
          <w:b/>
          <w:color w:val="000000"/>
          <w:sz w:val="28"/>
          <w:szCs w:val="28"/>
        </w:rPr>
        <w:t>DNS ICT 178 - 3D tiskárny (SŠ TE Olomoucká) - II</w:t>
      </w:r>
      <w:r w:rsidRPr="00681427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1B225033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774826" w:rsidRPr="00B42224">
        <w:rPr>
          <w:rFonts w:cstheme="minorHAnsi"/>
          <w:b/>
          <w:bCs/>
        </w:rPr>
        <w:t>„</w:t>
      </w:r>
      <w:r w:rsidR="00E20BA3" w:rsidRPr="00E20BA3">
        <w:rPr>
          <w:rFonts w:cstheme="minorHAnsi"/>
          <w:b/>
          <w:bCs/>
        </w:rPr>
        <w:t>DNS ICT 178 - 3D tiskárny (SŠ TE Olomoucká) - II</w:t>
      </w:r>
      <w:r w:rsidR="00774826" w:rsidRPr="005B3502">
        <w:rPr>
          <w:rFonts w:cstheme="minorHAnsi"/>
          <w:b/>
          <w:color w:val="000000"/>
        </w:rPr>
        <w:t>“</w:t>
      </w:r>
      <w:r w:rsidR="002512C7" w:rsidRPr="00774826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640A4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3CB6"/>
    <w:rsid w:val="00774826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A467F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0BA3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EB4942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77223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Petr Mikulín</cp:lastModifiedBy>
  <cp:revision>10</cp:revision>
  <dcterms:created xsi:type="dcterms:W3CDTF">2025-02-18T12:54:00Z</dcterms:created>
  <dcterms:modified xsi:type="dcterms:W3CDTF">2025-11-10T08:28:00Z</dcterms:modified>
</cp:coreProperties>
</file>