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8059" w14:textId="77777777" w:rsidR="00F372F0" w:rsidRDefault="00F372F0" w:rsidP="002D1DF6">
      <w:pPr>
        <w:spacing w:line="276" w:lineRule="auto"/>
        <w:jc w:val="center"/>
        <w:rPr>
          <w:rFonts w:ascii="Arial" w:hAnsi="Arial" w:cs="Arial"/>
          <w:b/>
          <w:sz w:val="28"/>
          <w:szCs w:val="28"/>
        </w:rPr>
      </w:pPr>
    </w:p>
    <w:p w14:paraId="5C2960D5" w14:textId="3A7B82D7" w:rsidR="00F372F0" w:rsidRPr="00242988" w:rsidRDefault="008F2537" w:rsidP="002D1DF6">
      <w:pPr>
        <w:spacing w:line="276" w:lineRule="auto"/>
        <w:jc w:val="center"/>
        <w:rPr>
          <w:rFonts w:ascii="Arial" w:hAnsi="Arial" w:cs="Arial"/>
          <w:b/>
          <w:sz w:val="28"/>
          <w:szCs w:val="28"/>
        </w:rPr>
      </w:pPr>
      <w:r>
        <w:rPr>
          <w:rFonts w:ascii="Arial" w:hAnsi="Arial" w:cs="Arial"/>
          <w:b/>
          <w:sz w:val="28"/>
          <w:szCs w:val="28"/>
        </w:rPr>
        <w:t>Rámcová dohoda</w:t>
      </w:r>
    </w:p>
    <w:p w14:paraId="3A74B1F5" w14:textId="77777777"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uzavřená níže uvedeného dne, měsíce a roku</w:t>
      </w:r>
    </w:p>
    <w:p w14:paraId="70EEEF41" w14:textId="38655F75" w:rsidR="00F372F0" w:rsidRPr="00F24672" w:rsidRDefault="00F372F0" w:rsidP="007365CB">
      <w:pPr>
        <w:spacing w:before="0" w:after="0" w:line="276" w:lineRule="auto"/>
        <w:jc w:val="center"/>
        <w:rPr>
          <w:rFonts w:ascii="Arial" w:hAnsi="Arial" w:cs="Arial"/>
          <w:sz w:val="20"/>
          <w:szCs w:val="20"/>
        </w:rPr>
      </w:pPr>
      <w:r w:rsidRPr="00F24672">
        <w:rPr>
          <w:rFonts w:ascii="Arial" w:hAnsi="Arial" w:cs="Arial"/>
          <w:sz w:val="20"/>
          <w:szCs w:val="20"/>
        </w:rPr>
        <w:t xml:space="preserve">dle ust. § 2079 a </w:t>
      </w:r>
      <w:proofErr w:type="spellStart"/>
      <w:r w:rsidR="008F2537" w:rsidRPr="00F24672">
        <w:rPr>
          <w:rFonts w:ascii="Arial" w:hAnsi="Arial" w:cs="Arial"/>
          <w:sz w:val="20"/>
          <w:szCs w:val="20"/>
        </w:rPr>
        <w:t>souv</w:t>
      </w:r>
      <w:proofErr w:type="spellEnd"/>
      <w:r w:rsidRPr="00F24672">
        <w:rPr>
          <w:rFonts w:ascii="Arial" w:hAnsi="Arial" w:cs="Arial"/>
          <w:sz w:val="20"/>
          <w:szCs w:val="20"/>
        </w:rPr>
        <w:t>. zákona č. 89/2012 Sb.,</w:t>
      </w:r>
      <w:r w:rsidR="007365CB" w:rsidRPr="00F24672">
        <w:rPr>
          <w:rFonts w:ascii="Arial" w:hAnsi="Arial" w:cs="Arial"/>
          <w:sz w:val="20"/>
          <w:szCs w:val="20"/>
        </w:rPr>
        <w:t xml:space="preserve"> </w:t>
      </w:r>
      <w:r w:rsidRPr="00F24672">
        <w:rPr>
          <w:rFonts w:ascii="Arial" w:hAnsi="Arial" w:cs="Arial"/>
          <w:sz w:val="20"/>
          <w:szCs w:val="20"/>
        </w:rPr>
        <w:t>občanský zákoník, ve znění pozdějších předpisů</w:t>
      </w:r>
      <w:r w:rsidR="007365CB" w:rsidRPr="00F24672">
        <w:rPr>
          <w:rFonts w:ascii="Arial" w:hAnsi="Arial" w:cs="Arial"/>
          <w:sz w:val="20"/>
          <w:szCs w:val="20"/>
        </w:rPr>
        <w:t xml:space="preserve"> </w:t>
      </w:r>
      <w:r w:rsidRPr="00F24672">
        <w:rPr>
          <w:rFonts w:ascii="Arial" w:hAnsi="Arial" w:cs="Arial"/>
          <w:sz w:val="20"/>
          <w:szCs w:val="20"/>
        </w:rPr>
        <w:t>(dále též „OZ“)</w:t>
      </w:r>
    </w:p>
    <w:p w14:paraId="31D7BE4C" w14:textId="4383CEEA"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(dále jen „</w:t>
      </w:r>
      <w:r w:rsidR="008F2537" w:rsidRPr="00F24672">
        <w:rPr>
          <w:rFonts w:ascii="Arial" w:hAnsi="Arial" w:cs="Arial"/>
          <w:sz w:val="20"/>
          <w:szCs w:val="20"/>
        </w:rPr>
        <w:t>dohoda</w:t>
      </w:r>
      <w:r w:rsidRPr="00F24672">
        <w:rPr>
          <w:rFonts w:ascii="Arial" w:hAnsi="Arial" w:cs="Arial"/>
          <w:sz w:val="20"/>
          <w:szCs w:val="20"/>
        </w:rPr>
        <w:t>“)</w:t>
      </w:r>
    </w:p>
    <w:p w14:paraId="3CAC37AF" w14:textId="77777777" w:rsidR="00F372F0" w:rsidRPr="00F24672" w:rsidRDefault="00F372F0" w:rsidP="002D1DF6">
      <w:pPr>
        <w:spacing w:line="276" w:lineRule="auto"/>
        <w:rPr>
          <w:rFonts w:ascii="Arial" w:hAnsi="Arial" w:cs="Arial"/>
          <w:sz w:val="20"/>
          <w:szCs w:val="20"/>
        </w:rPr>
      </w:pPr>
    </w:p>
    <w:p w14:paraId="177F7856" w14:textId="409517AF" w:rsidR="00F372F0" w:rsidRPr="00F24672" w:rsidRDefault="00F372F0" w:rsidP="003353BA">
      <w:pPr>
        <w:spacing w:line="276" w:lineRule="auto"/>
        <w:jc w:val="center"/>
        <w:rPr>
          <w:rFonts w:ascii="Arial" w:hAnsi="Arial" w:cs="Arial"/>
          <w:b/>
          <w:sz w:val="20"/>
          <w:szCs w:val="20"/>
        </w:rPr>
      </w:pPr>
      <w:r w:rsidRPr="00F24672">
        <w:rPr>
          <w:rFonts w:ascii="Arial" w:hAnsi="Arial" w:cs="Arial"/>
          <w:b/>
          <w:sz w:val="20"/>
          <w:szCs w:val="20"/>
        </w:rPr>
        <w:t>Smluvní strany</w:t>
      </w:r>
    </w:p>
    <w:p w14:paraId="373B9262" w14:textId="77777777" w:rsidR="003353BA" w:rsidRPr="00F24672" w:rsidRDefault="003353BA" w:rsidP="003353BA">
      <w:pPr>
        <w:spacing w:line="276" w:lineRule="auto"/>
        <w:jc w:val="center"/>
        <w:rPr>
          <w:rFonts w:ascii="Arial" w:hAnsi="Arial" w:cs="Arial"/>
          <w:b/>
          <w:sz w:val="20"/>
          <w:szCs w:val="20"/>
        </w:rPr>
      </w:pPr>
    </w:p>
    <w:p w14:paraId="10383504" w14:textId="601795EE"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 xml:space="preserve">1. </w:t>
      </w:r>
      <w:r w:rsidRPr="00F24672">
        <w:rPr>
          <w:rFonts w:ascii="Arial" w:hAnsi="Arial" w:cs="Arial"/>
          <w:sz w:val="20"/>
          <w:szCs w:val="20"/>
        </w:rPr>
        <w:tab/>
      </w:r>
      <w:r w:rsidR="001E6A42" w:rsidRPr="00F24672">
        <w:rPr>
          <w:rFonts w:ascii="Arial" w:hAnsi="Arial" w:cs="Arial"/>
          <w:b/>
          <w:sz w:val="20"/>
          <w:szCs w:val="20"/>
        </w:rPr>
        <w:t>Jihomoravská zdravotní, a.s.</w:t>
      </w:r>
    </w:p>
    <w:p w14:paraId="57568FA7" w14:textId="54387B2A" w:rsidR="00F372F0" w:rsidRPr="00F24672" w:rsidRDefault="004D7B1F"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S</w:t>
      </w:r>
      <w:r w:rsidR="00F372F0" w:rsidRPr="00F24672">
        <w:rPr>
          <w:rFonts w:ascii="Arial" w:hAnsi="Arial" w:cs="Arial"/>
          <w:sz w:val="20"/>
          <w:szCs w:val="20"/>
        </w:rPr>
        <w:t>e sídlem:</w:t>
      </w:r>
      <w:r w:rsidR="00F372F0" w:rsidRPr="00F24672">
        <w:rPr>
          <w:rFonts w:ascii="Arial" w:hAnsi="Arial" w:cs="Arial"/>
          <w:sz w:val="20"/>
          <w:szCs w:val="20"/>
        </w:rPr>
        <w:tab/>
      </w:r>
      <w:r w:rsidR="00F372F0" w:rsidRPr="00F24672">
        <w:rPr>
          <w:rFonts w:ascii="Arial" w:hAnsi="Arial" w:cs="Arial"/>
          <w:sz w:val="20"/>
          <w:szCs w:val="20"/>
        </w:rPr>
        <w:tab/>
      </w:r>
      <w:r w:rsidR="001E6A42" w:rsidRPr="00F24672">
        <w:rPr>
          <w:rFonts w:ascii="Arial" w:hAnsi="Arial" w:cs="Arial"/>
          <w:sz w:val="20"/>
          <w:szCs w:val="20"/>
        </w:rPr>
        <w:t>Nové sady 988/2, Staré Brno, 602 00 Brno</w:t>
      </w:r>
      <w:r w:rsidR="00F372F0" w:rsidRPr="00F24672">
        <w:rPr>
          <w:rFonts w:ascii="Arial" w:hAnsi="Arial" w:cs="Arial"/>
          <w:sz w:val="20"/>
          <w:szCs w:val="20"/>
        </w:rPr>
        <w:t xml:space="preserve"> </w:t>
      </w:r>
    </w:p>
    <w:p w14:paraId="2ED1D229" w14:textId="41E70F78"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IČO: </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277</w:t>
      </w:r>
      <w:r w:rsidR="00286C69" w:rsidRPr="00F24672">
        <w:rPr>
          <w:rFonts w:ascii="Arial" w:hAnsi="Arial" w:cs="Arial"/>
          <w:sz w:val="20"/>
          <w:szCs w:val="20"/>
        </w:rPr>
        <w:t xml:space="preserve"> </w:t>
      </w:r>
      <w:r w:rsidR="001E6A42" w:rsidRPr="00F24672">
        <w:rPr>
          <w:rFonts w:ascii="Arial" w:hAnsi="Arial" w:cs="Arial"/>
          <w:sz w:val="20"/>
          <w:szCs w:val="20"/>
        </w:rPr>
        <w:t>14</w:t>
      </w:r>
      <w:r w:rsidR="00286C69" w:rsidRPr="00F24672">
        <w:rPr>
          <w:rFonts w:ascii="Arial" w:hAnsi="Arial" w:cs="Arial"/>
          <w:sz w:val="20"/>
          <w:szCs w:val="20"/>
        </w:rPr>
        <w:t xml:space="preserve"> </w:t>
      </w:r>
      <w:r w:rsidR="001E6A42" w:rsidRPr="00F24672">
        <w:rPr>
          <w:rFonts w:ascii="Arial" w:hAnsi="Arial" w:cs="Arial"/>
          <w:sz w:val="20"/>
          <w:szCs w:val="20"/>
        </w:rPr>
        <w:t>608</w:t>
      </w:r>
    </w:p>
    <w:p w14:paraId="4278363A" w14:textId="60D361AB"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DIČ:</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CZ27714608</w:t>
      </w:r>
    </w:p>
    <w:p w14:paraId="18C525EA" w14:textId="663537CE"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Bankovní spojení: </w:t>
      </w:r>
      <w:r w:rsidRPr="00F24672">
        <w:rPr>
          <w:rFonts w:ascii="Arial" w:hAnsi="Arial" w:cs="Arial"/>
          <w:sz w:val="20"/>
          <w:szCs w:val="20"/>
        </w:rPr>
        <w:tab/>
      </w:r>
      <w:r w:rsidR="004A5AFD" w:rsidRPr="00F24672">
        <w:rPr>
          <w:rFonts w:ascii="Arial" w:hAnsi="Arial" w:cs="Arial"/>
          <w:sz w:val="20"/>
          <w:szCs w:val="20"/>
        </w:rPr>
        <w:t>ČSOB, číslo účtu 217106033/0300</w:t>
      </w:r>
    </w:p>
    <w:p w14:paraId="5E4C497D" w14:textId="4EC6753C" w:rsidR="00F372F0" w:rsidRPr="00F24672" w:rsidRDefault="004D7B1F" w:rsidP="00262283">
      <w:pPr>
        <w:spacing w:before="0" w:after="0" w:line="276" w:lineRule="auto"/>
        <w:rPr>
          <w:rFonts w:ascii="Arial" w:hAnsi="Arial" w:cs="Arial"/>
          <w:sz w:val="20"/>
          <w:szCs w:val="20"/>
        </w:rPr>
      </w:pPr>
      <w:r w:rsidRPr="00F24672">
        <w:rPr>
          <w:rFonts w:ascii="Arial" w:hAnsi="Arial" w:cs="Arial"/>
          <w:sz w:val="20"/>
          <w:szCs w:val="20"/>
        </w:rPr>
        <w:t>Z</w:t>
      </w:r>
      <w:r w:rsidR="00F372F0" w:rsidRPr="00F24672">
        <w:rPr>
          <w:rFonts w:ascii="Arial" w:hAnsi="Arial" w:cs="Arial"/>
          <w:sz w:val="20"/>
          <w:szCs w:val="20"/>
        </w:rPr>
        <w:t>astoupena:</w:t>
      </w:r>
      <w:r w:rsidR="00F372F0" w:rsidRPr="00F24672">
        <w:rPr>
          <w:rFonts w:ascii="Arial" w:hAnsi="Arial" w:cs="Arial"/>
          <w:sz w:val="20"/>
          <w:szCs w:val="20"/>
        </w:rPr>
        <w:tab/>
      </w:r>
      <w:r w:rsidR="00F372F0" w:rsidRPr="00F24672">
        <w:rPr>
          <w:rFonts w:ascii="Arial" w:hAnsi="Arial" w:cs="Arial"/>
          <w:sz w:val="20"/>
          <w:szCs w:val="20"/>
        </w:rPr>
        <w:tab/>
      </w:r>
      <w:r w:rsidR="00262283" w:rsidRPr="00F24672">
        <w:rPr>
          <w:rFonts w:ascii="Arial" w:hAnsi="Arial" w:cs="Arial"/>
          <w:sz w:val="20"/>
          <w:szCs w:val="20"/>
          <w:highlight w:val="green"/>
        </w:rPr>
        <w:t>BUDE DOPLNĚNO PŘED PODPISEM SMLOUVY</w:t>
      </w:r>
    </w:p>
    <w:p w14:paraId="2FAC2531" w14:textId="2BB1B966"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ID datové schránky: </w:t>
      </w:r>
      <w:r w:rsidRPr="00F24672">
        <w:rPr>
          <w:rFonts w:ascii="Arial" w:hAnsi="Arial" w:cs="Arial"/>
          <w:sz w:val="20"/>
          <w:szCs w:val="20"/>
        </w:rPr>
        <w:tab/>
      </w:r>
      <w:proofErr w:type="spellStart"/>
      <w:r w:rsidR="004A5AFD" w:rsidRPr="00F24672">
        <w:rPr>
          <w:rFonts w:ascii="Arial" w:hAnsi="Arial" w:cs="Arial"/>
          <w:sz w:val="20"/>
          <w:szCs w:val="20"/>
        </w:rPr>
        <w:t>kergnjx</w:t>
      </w:r>
      <w:proofErr w:type="spellEnd"/>
      <w:r w:rsidRPr="00F24672">
        <w:rPr>
          <w:rFonts w:ascii="Arial" w:hAnsi="Arial" w:cs="Arial"/>
          <w:sz w:val="20"/>
          <w:szCs w:val="20"/>
        </w:rPr>
        <w:tab/>
      </w:r>
    </w:p>
    <w:p w14:paraId="7A1B8809" w14:textId="77777777" w:rsidR="00F372F0" w:rsidRPr="00F24672" w:rsidRDefault="00F372F0" w:rsidP="002D1DF6">
      <w:pPr>
        <w:spacing w:before="0" w:after="0" w:line="276" w:lineRule="auto"/>
        <w:rPr>
          <w:rFonts w:ascii="Arial" w:hAnsi="Arial" w:cs="Arial"/>
          <w:sz w:val="20"/>
          <w:szCs w:val="20"/>
        </w:rPr>
      </w:pPr>
    </w:p>
    <w:p w14:paraId="0D3ECD2A"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kupující</w:t>
      </w:r>
      <w:r w:rsidRPr="00F24672">
        <w:rPr>
          <w:rFonts w:ascii="Arial" w:hAnsi="Arial" w:cs="Arial"/>
          <w:sz w:val="20"/>
          <w:szCs w:val="20"/>
        </w:rPr>
        <w:t>“</w:t>
      </w:r>
    </w:p>
    <w:p w14:paraId="3D517C88"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a</w:t>
      </w:r>
    </w:p>
    <w:p w14:paraId="7A2330B0" w14:textId="352D19D3"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2.</w:t>
      </w:r>
      <w:r w:rsidRPr="00F24672">
        <w:rPr>
          <w:rFonts w:ascii="Arial" w:hAnsi="Arial" w:cs="Arial"/>
          <w:sz w:val="20"/>
          <w:szCs w:val="20"/>
        </w:rPr>
        <w:tab/>
      </w:r>
      <w:r w:rsidRPr="00F24672">
        <w:rPr>
          <w:rFonts w:ascii="Arial" w:hAnsi="Arial" w:cs="Arial"/>
          <w:b/>
          <w:sz w:val="20"/>
          <w:szCs w:val="20"/>
          <w:highlight w:val="yellow"/>
        </w:rPr>
        <w:t xml:space="preserve">Název </w:t>
      </w:r>
      <w:r w:rsidR="00F922DB" w:rsidRPr="00F24672">
        <w:rPr>
          <w:rFonts w:ascii="Arial" w:hAnsi="Arial" w:cs="Arial"/>
          <w:b/>
          <w:sz w:val="20"/>
          <w:szCs w:val="20"/>
          <w:highlight w:val="yellow"/>
        </w:rPr>
        <w:t xml:space="preserve">prodávajícího – </w:t>
      </w:r>
      <w:r w:rsidR="00F922DB" w:rsidRPr="00F24672">
        <w:rPr>
          <w:rFonts w:ascii="Arial" w:hAnsi="Arial" w:cs="Arial"/>
          <w:bCs/>
          <w:sz w:val="20"/>
          <w:szCs w:val="20"/>
          <w:highlight w:val="yellow"/>
        </w:rPr>
        <w:t>DOPLNÍ</w:t>
      </w:r>
      <w:r w:rsidR="00236358" w:rsidRPr="00F24672">
        <w:rPr>
          <w:rFonts w:ascii="Arial" w:hAnsi="Arial" w:cs="Arial"/>
          <w:bCs/>
          <w:sz w:val="20"/>
          <w:szCs w:val="20"/>
          <w:highlight w:val="yellow"/>
        </w:rPr>
        <w:t xml:space="preserve"> DODAVATEL</w:t>
      </w:r>
    </w:p>
    <w:p w14:paraId="330FD47D" w14:textId="1EEE67B7"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S</w:t>
      </w:r>
      <w:r w:rsidR="00F372F0" w:rsidRPr="00F24672">
        <w:rPr>
          <w:rFonts w:ascii="Arial" w:hAnsi="Arial" w:cs="Arial"/>
          <w:sz w:val="20"/>
          <w:szCs w:val="20"/>
        </w:rPr>
        <w:t>e sídlem:</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01577F54" w14:textId="7C76D740"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apsaná v</w:t>
      </w:r>
      <w:r w:rsidR="00236358" w:rsidRPr="00F24672">
        <w:rPr>
          <w:rFonts w:ascii="Arial" w:hAnsi="Arial" w:cs="Arial"/>
          <w:sz w:val="20"/>
          <w:szCs w:val="20"/>
        </w:rPr>
        <w:t> </w:t>
      </w:r>
      <w:r w:rsidR="00F372F0" w:rsidRPr="00F24672">
        <w:rPr>
          <w:rFonts w:ascii="Arial" w:hAnsi="Arial" w:cs="Arial"/>
          <w:sz w:val="20"/>
          <w:szCs w:val="20"/>
        </w:rPr>
        <w:t>OR</w:t>
      </w:r>
      <w:r w:rsidR="00236358" w:rsidRPr="00F24672">
        <w:rPr>
          <w:rFonts w:ascii="Arial" w:hAnsi="Arial" w:cs="Arial"/>
          <w:sz w:val="20"/>
          <w:szCs w:val="20"/>
        </w:rPr>
        <w:t>:</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4BC6AAC" w14:textId="3359EDCA"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IČO:</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B5501F5" w14:textId="4817B64F"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DIČ:</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2738DF32" w14:textId="6EA70F64" w:rsidR="00F372F0" w:rsidRPr="00F24672" w:rsidRDefault="00F372F0"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Bankovní spojení:</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4BD7526C" w14:textId="2363D7DA" w:rsidR="00F372F0" w:rsidRPr="00F24672" w:rsidRDefault="00236358"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astoupena</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yellow"/>
        </w:rPr>
        <w:t>DOPLNÍ DODAVATEL</w:t>
      </w:r>
    </w:p>
    <w:p w14:paraId="1E81E5D8" w14:textId="76393315" w:rsidR="00F372F0" w:rsidRPr="00F24672" w:rsidRDefault="00F372F0" w:rsidP="002D1DF6">
      <w:pPr>
        <w:tabs>
          <w:tab w:val="left" w:pos="1701"/>
        </w:tabs>
        <w:spacing w:before="0" w:after="0" w:line="276" w:lineRule="auto"/>
        <w:ind w:left="1701" w:hanging="1701"/>
        <w:rPr>
          <w:rFonts w:ascii="Arial" w:hAnsi="Arial" w:cs="Arial"/>
          <w:sz w:val="20"/>
          <w:szCs w:val="20"/>
        </w:rPr>
      </w:pPr>
      <w:r w:rsidRPr="00F24672">
        <w:rPr>
          <w:rFonts w:ascii="Arial" w:hAnsi="Arial" w:cs="Arial"/>
          <w:sz w:val="20"/>
          <w:szCs w:val="20"/>
        </w:rPr>
        <w:t>ID datové schránky:</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785B6123" w14:textId="77777777" w:rsidR="00F372F0" w:rsidRPr="00F24672" w:rsidRDefault="00F372F0" w:rsidP="002D1DF6">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 </w:t>
      </w:r>
      <w:r w:rsidRPr="00F24672">
        <w:rPr>
          <w:rFonts w:ascii="Arial" w:hAnsi="Arial" w:cs="Arial"/>
          <w:sz w:val="20"/>
          <w:szCs w:val="20"/>
        </w:rPr>
        <w:tab/>
      </w:r>
    </w:p>
    <w:p w14:paraId="64AA7B77"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prodávající</w:t>
      </w:r>
      <w:r w:rsidRPr="00F24672">
        <w:rPr>
          <w:rFonts w:ascii="Arial" w:hAnsi="Arial" w:cs="Arial"/>
          <w:sz w:val="20"/>
          <w:szCs w:val="20"/>
        </w:rPr>
        <w:t>“</w:t>
      </w:r>
    </w:p>
    <w:p w14:paraId="7B4F78E4"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(kupující a prodávající společně též jako „smluvní strany“ a/nebo jednotlivě jako „smluvní strana“)</w:t>
      </w:r>
    </w:p>
    <w:p w14:paraId="6D72B01C" w14:textId="77777777" w:rsidR="00FC1900" w:rsidRPr="00F24672" w:rsidRDefault="00FC1900" w:rsidP="002D1DF6">
      <w:pPr>
        <w:spacing w:line="276" w:lineRule="auto"/>
        <w:jc w:val="both"/>
        <w:rPr>
          <w:rFonts w:ascii="Arial" w:hAnsi="Arial" w:cs="Arial"/>
          <w:sz w:val="20"/>
          <w:szCs w:val="20"/>
        </w:rPr>
      </w:pPr>
    </w:p>
    <w:p w14:paraId="4B90627D" w14:textId="6E292A3C" w:rsidR="004A5AFD" w:rsidRPr="00F24672" w:rsidRDefault="00F372F0" w:rsidP="00F24672">
      <w:pPr>
        <w:spacing w:line="276" w:lineRule="auto"/>
        <w:jc w:val="both"/>
        <w:rPr>
          <w:rFonts w:ascii="Arial" w:hAnsi="Arial" w:cs="Arial"/>
          <w:sz w:val="20"/>
          <w:szCs w:val="20"/>
        </w:rPr>
      </w:pPr>
      <w:r w:rsidRPr="00F24672">
        <w:rPr>
          <w:rFonts w:ascii="Arial" w:hAnsi="Arial" w:cs="Arial"/>
          <w:sz w:val="20"/>
          <w:szCs w:val="20"/>
        </w:rPr>
        <w:t xml:space="preserve">navazující na veřejnou zakázku </w:t>
      </w:r>
      <w:r w:rsidR="001E6A42" w:rsidRPr="00F24672">
        <w:rPr>
          <w:rFonts w:ascii="Arial" w:hAnsi="Arial" w:cs="Arial"/>
          <w:sz w:val="20"/>
          <w:szCs w:val="20"/>
        </w:rPr>
        <w:t xml:space="preserve">malého rozsahu na dodávky </w:t>
      </w:r>
      <w:r w:rsidRPr="00F24672">
        <w:rPr>
          <w:rFonts w:ascii="Arial" w:hAnsi="Arial" w:cs="Arial"/>
          <w:sz w:val="20"/>
          <w:szCs w:val="20"/>
        </w:rPr>
        <w:t xml:space="preserve">s názvem </w:t>
      </w:r>
      <w:r w:rsidRPr="00F24672">
        <w:rPr>
          <w:rFonts w:ascii="Arial" w:hAnsi="Arial" w:cs="Arial"/>
          <w:b/>
          <w:bCs/>
          <w:sz w:val="20"/>
          <w:szCs w:val="20"/>
        </w:rPr>
        <w:t>„</w:t>
      </w:r>
      <w:r w:rsidR="00F24672" w:rsidRPr="00F24672">
        <w:rPr>
          <w:rFonts w:ascii="Arial" w:hAnsi="Arial" w:cs="Arial"/>
          <w:b/>
          <w:bCs/>
          <w:sz w:val="20"/>
          <w:szCs w:val="20"/>
        </w:rPr>
        <w:t>Rámcová dohoda na dodávku notebooků</w:t>
      </w:r>
      <w:r w:rsidRPr="00F24672">
        <w:rPr>
          <w:rFonts w:ascii="Arial" w:hAnsi="Arial" w:cs="Arial"/>
          <w:b/>
          <w:bCs/>
          <w:sz w:val="20"/>
          <w:szCs w:val="20"/>
        </w:rPr>
        <w:t>“</w:t>
      </w:r>
      <w:r w:rsidRPr="00F24672">
        <w:rPr>
          <w:rFonts w:ascii="Arial" w:hAnsi="Arial" w:cs="Arial"/>
          <w:sz w:val="20"/>
          <w:szCs w:val="20"/>
        </w:rPr>
        <w:t xml:space="preserve"> zada</w:t>
      </w:r>
      <w:r w:rsidR="001E6A42" w:rsidRPr="00F24672">
        <w:rPr>
          <w:rFonts w:ascii="Arial" w:hAnsi="Arial" w:cs="Arial"/>
          <w:sz w:val="20"/>
          <w:szCs w:val="20"/>
        </w:rPr>
        <w:t xml:space="preserve">nou mimo režim </w:t>
      </w:r>
      <w:r w:rsidRPr="00F24672">
        <w:rPr>
          <w:rFonts w:ascii="Arial" w:hAnsi="Arial" w:cs="Arial"/>
          <w:sz w:val="20"/>
          <w:szCs w:val="20"/>
        </w:rPr>
        <w:t>zákona č. 134/2016 Sb., o zadávání veřejných zakázek, ve znění pozdějších předpisů</w:t>
      </w:r>
      <w:r w:rsidR="00117215" w:rsidRPr="00F24672">
        <w:rPr>
          <w:rFonts w:ascii="Arial" w:hAnsi="Arial" w:cs="Arial"/>
          <w:sz w:val="20"/>
          <w:szCs w:val="20"/>
        </w:rPr>
        <w:t xml:space="preserve"> (dále také „ZZVZ“).</w:t>
      </w:r>
      <w:r w:rsidRPr="00F24672">
        <w:rPr>
          <w:rFonts w:ascii="Arial" w:hAnsi="Arial" w:cs="Arial"/>
          <w:sz w:val="20"/>
          <w:szCs w:val="20"/>
        </w:rPr>
        <w:t xml:space="preserve"> </w:t>
      </w:r>
      <w:r w:rsidR="00117215" w:rsidRPr="00F24672">
        <w:rPr>
          <w:rFonts w:ascii="Arial" w:hAnsi="Arial" w:cs="Arial"/>
          <w:sz w:val="20"/>
          <w:szCs w:val="20"/>
        </w:rPr>
        <w:t xml:space="preserve">Ustanovení </w:t>
      </w:r>
      <w:r w:rsidR="00B341E7">
        <w:rPr>
          <w:rFonts w:ascii="Arial" w:hAnsi="Arial" w:cs="Arial"/>
          <w:sz w:val="20"/>
          <w:szCs w:val="20"/>
        </w:rPr>
        <w:t xml:space="preserve">dohody </w:t>
      </w:r>
      <w:r w:rsidRPr="00F24672">
        <w:rPr>
          <w:rFonts w:ascii="Arial" w:hAnsi="Arial" w:cs="Arial"/>
          <w:sz w:val="20"/>
          <w:szCs w:val="20"/>
        </w:rPr>
        <w:t>je třeba vykládat v souladu se zadávacími podmínkami k předmětné veřejné zakázce.</w:t>
      </w:r>
      <w:bookmarkStart w:id="0" w:name="_Ref181592014"/>
    </w:p>
    <w:p w14:paraId="504DFBE3" w14:textId="1956ED83" w:rsidR="00F372F0" w:rsidRPr="00F24672" w:rsidRDefault="00F372F0" w:rsidP="00E07E68">
      <w:pPr>
        <w:pStyle w:val="Odstavecseseznamem"/>
        <w:keepNext/>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Předmět </w:t>
      </w:r>
      <w:bookmarkEnd w:id="0"/>
      <w:r w:rsidR="008F2537" w:rsidRPr="00F24672">
        <w:rPr>
          <w:rFonts w:ascii="Arial" w:hAnsi="Arial" w:cs="Arial"/>
          <w:b/>
          <w:sz w:val="20"/>
          <w:szCs w:val="20"/>
        </w:rPr>
        <w:t>rámcové dohody</w:t>
      </w:r>
    </w:p>
    <w:p w14:paraId="6F1F4E2D" w14:textId="71C576DA" w:rsidR="00F372F0"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Účelem dohody je řádné, kompletní a včasné dodání zboží a souvisejících služeb dle aktuální potřeby kupujícího prodávajícím a umožnění jeho bezproblémového provozu.</w:t>
      </w:r>
    </w:p>
    <w:p w14:paraId="73EA29CF" w14:textId="13104220" w:rsidR="008F2537"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Předmětem dohody je vymezení konkrétních a úplných rámcových podmínek, na jejichž základě budou mezi kupujícím a prodávajícím uzavírány jednotlivé smlouvy (dále jen „dílčí objednávky“) dle aktuálních potřeb kupujícího na dodávky notebooků</w:t>
      </w:r>
      <w:r w:rsidR="00C70546" w:rsidRPr="00F24672">
        <w:rPr>
          <w:rFonts w:ascii="Arial" w:hAnsi="Arial" w:cs="Arial"/>
          <w:sz w:val="20"/>
          <w:szCs w:val="20"/>
        </w:rPr>
        <w:t xml:space="preserve"> (dále jen „zboží“)</w:t>
      </w:r>
      <w:r w:rsidRPr="00F24672">
        <w:rPr>
          <w:rFonts w:ascii="Arial" w:hAnsi="Arial" w:cs="Arial"/>
          <w:sz w:val="20"/>
          <w:szCs w:val="20"/>
        </w:rPr>
        <w:t xml:space="preserve">. Nedílnou součástí </w:t>
      </w:r>
      <w:r w:rsidR="00C70546" w:rsidRPr="00F24672">
        <w:rPr>
          <w:rFonts w:ascii="Arial" w:hAnsi="Arial" w:cs="Arial"/>
          <w:sz w:val="20"/>
          <w:szCs w:val="20"/>
        </w:rPr>
        <w:t>zboží</w:t>
      </w:r>
      <w:r w:rsidRPr="00F24672">
        <w:rPr>
          <w:rFonts w:ascii="Arial" w:hAnsi="Arial" w:cs="Arial"/>
          <w:sz w:val="20"/>
          <w:szCs w:val="20"/>
        </w:rPr>
        <w:t xml:space="preserve"> je:</w:t>
      </w:r>
    </w:p>
    <w:p w14:paraId="493847A4" w14:textId="3ABA22F6"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dodávka </w:t>
      </w:r>
      <w:r w:rsidR="00C70546" w:rsidRPr="00F24672">
        <w:rPr>
          <w:rFonts w:ascii="Arial" w:hAnsi="Arial" w:cs="Arial"/>
          <w:sz w:val="20"/>
          <w:szCs w:val="20"/>
        </w:rPr>
        <w:t>zboží</w:t>
      </w:r>
      <w:r w:rsidRPr="00F24672">
        <w:rPr>
          <w:rFonts w:ascii="Arial" w:hAnsi="Arial" w:cs="Arial"/>
          <w:sz w:val="20"/>
          <w:szCs w:val="20"/>
        </w:rPr>
        <w:t xml:space="preserve"> na místo plnění dle čl.</w:t>
      </w:r>
      <w:r w:rsidR="00385D29" w:rsidRPr="00F24672">
        <w:rPr>
          <w:rFonts w:ascii="Arial" w:hAnsi="Arial" w:cs="Arial"/>
          <w:sz w:val="20"/>
          <w:szCs w:val="20"/>
        </w:rPr>
        <w:t xml:space="preserve"> 2.6.</w:t>
      </w:r>
      <w:r w:rsidRPr="00F24672">
        <w:rPr>
          <w:rFonts w:ascii="Arial" w:hAnsi="Arial" w:cs="Arial"/>
          <w:sz w:val="20"/>
          <w:szCs w:val="20"/>
        </w:rPr>
        <w:t xml:space="preserve"> dohody;</w:t>
      </w:r>
    </w:p>
    <w:p w14:paraId="0F2140E3" w14:textId="16D4F732"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lastRenderedPageBreak/>
        <w:t>předání veškeré související dokumentace (certifikát CE, technická dokumentace, pokyny pro údržbu apod.) vztahující se k</w:t>
      </w:r>
      <w:r w:rsidR="00C70546" w:rsidRPr="00F24672">
        <w:rPr>
          <w:rFonts w:ascii="Arial" w:hAnsi="Arial" w:cs="Arial"/>
          <w:sz w:val="20"/>
          <w:szCs w:val="20"/>
        </w:rPr>
        <w:t>e zboží</w:t>
      </w:r>
      <w:r w:rsidRPr="00F24672">
        <w:rPr>
          <w:rFonts w:ascii="Arial" w:hAnsi="Arial" w:cs="Arial"/>
          <w:sz w:val="20"/>
          <w:szCs w:val="20"/>
        </w:rPr>
        <w:t>, která je potřebná pro nakládání se zbožím a pro jeho provoz nebo kterou vyžadují příslušné právní předpisy a české a evropské technické normy;</w:t>
      </w:r>
    </w:p>
    <w:p w14:paraId="04CD4134" w14:textId="24CB81AE"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dodání souvisejícího softwaru dle technické specifikace (viz níže), jakož i poskytnutí licencí k němu umožňující jeho provoz a pravidelné aktualizace softwaru po celou dobu jeho životnosti dle čl. </w:t>
      </w:r>
      <w:r w:rsidR="00385D29" w:rsidRPr="00F24672">
        <w:rPr>
          <w:rFonts w:ascii="Arial" w:hAnsi="Arial" w:cs="Arial"/>
          <w:sz w:val="20"/>
          <w:szCs w:val="20"/>
        </w:rPr>
        <w:t>4.8.</w:t>
      </w:r>
      <w:r w:rsidR="008265FF" w:rsidRPr="00F24672">
        <w:rPr>
          <w:rFonts w:ascii="Arial" w:hAnsi="Arial" w:cs="Arial"/>
          <w:sz w:val="20"/>
          <w:szCs w:val="20"/>
        </w:rPr>
        <w:t xml:space="preserve"> </w:t>
      </w:r>
      <w:r w:rsidRPr="00F24672">
        <w:rPr>
          <w:rFonts w:ascii="Arial" w:hAnsi="Arial" w:cs="Arial"/>
          <w:sz w:val="20"/>
          <w:szCs w:val="20"/>
        </w:rPr>
        <w:t xml:space="preserve">dohody. Přitom odměna za licenci je zahrnuta v ceně zboží dle </w:t>
      </w:r>
      <w:r w:rsidR="00B341E7">
        <w:rPr>
          <w:rFonts w:ascii="Arial" w:hAnsi="Arial" w:cs="Arial"/>
          <w:sz w:val="20"/>
          <w:szCs w:val="20"/>
        </w:rPr>
        <w:t>dohody</w:t>
      </w:r>
      <w:r w:rsidRPr="00F24672">
        <w:rPr>
          <w:rFonts w:ascii="Arial" w:hAnsi="Arial" w:cs="Arial"/>
          <w:sz w:val="20"/>
          <w:szCs w:val="20"/>
        </w:rPr>
        <w:t>, aniž by kupující musel v budoucnu přistupovat na nové licenční podmínky prodávajícího nebo třetí strany, které by navyšovaly cenu v</w:t>
      </w:r>
      <w:r w:rsidR="00B341E7">
        <w:rPr>
          <w:rFonts w:ascii="Arial" w:hAnsi="Arial" w:cs="Arial"/>
          <w:sz w:val="20"/>
          <w:szCs w:val="20"/>
        </w:rPr>
        <w:t xml:space="preserve"> dohodě </w:t>
      </w:r>
      <w:r w:rsidRPr="00F24672">
        <w:rPr>
          <w:rFonts w:ascii="Arial" w:hAnsi="Arial" w:cs="Arial"/>
          <w:sz w:val="20"/>
          <w:szCs w:val="20"/>
        </w:rPr>
        <w:t>nebo ji měnily v neprospěch kupujícího. Prodávající je povinen kupujícího s licenčními podmínkami prokazatelně seznámit nebo na ně alespoň odkázat;</w:t>
      </w:r>
    </w:p>
    <w:p w14:paraId="28222A57" w14:textId="5A264080"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poskytování souvisejících služeb, servisu a pozáručního servisu dle čl. </w:t>
      </w:r>
      <w:r w:rsidR="00385D29" w:rsidRPr="00F24672">
        <w:rPr>
          <w:rFonts w:ascii="Arial" w:hAnsi="Arial" w:cs="Arial"/>
          <w:sz w:val="20"/>
          <w:szCs w:val="20"/>
        </w:rPr>
        <w:t>4.</w:t>
      </w:r>
      <w:r w:rsidRPr="00F24672">
        <w:rPr>
          <w:rFonts w:ascii="Arial" w:hAnsi="Arial" w:cs="Arial"/>
          <w:sz w:val="20"/>
          <w:szCs w:val="20"/>
        </w:rPr>
        <w:t xml:space="preserve"> dohody.</w:t>
      </w:r>
    </w:p>
    <w:p w14:paraId="5CCA80BA" w14:textId="3DFCAFF8" w:rsidR="008F2537"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Podrobná specifikace zboží je obsažena v Příloze A – Technická specifikace (dále jen „technická specifikace“) a v Příloze B – Cenový rozpad (dále jen „cenový rozpad“), které tvoří nedílnou součást dohody.</w:t>
      </w:r>
    </w:p>
    <w:p w14:paraId="0430F051" w14:textId="3AFD8F2E" w:rsidR="00C70546" w:rsidRPr="004A0E10" w:rsidRDefault="00C70546" w:rsidP="004A0E10">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Předmětem dohody je dále odpovídající závazek kupujícího spolupracovat s prodávajícím při plnění jeho povinností vyplývajících z dohody tak, aby mohla být řádně realizována.</w:t>
      </w:r>
    </w:p>
    <w:p w14:paraId="05E4B82D" w14:textId="310419FC" w:rsidR="00C70546"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se zavazuje realizovat předmět dohody s maximální odbornou péčí a hospodárností při provádění všech prací a při výběru poddodavatelů, to vše při dodržení maximální možné kvality a s důrazem na ekologickou šetrnost.</w:t>
      </w:r>
    </w:p>
    <w:p w14:paraId="68C753C0" w14:textId="1957D53F" w:rsidR="007B2EB2"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Veškerá ustanovení týkající se rámcové dohody se podle jejich povahy a účelu použijí také na jednotlivé dílčí objednávky uzavírané na jejím základě mezi kupujícím a prodávajícím.</w:t>
      </w:r>
      <w:r w:rsidR="00F372F0" w:rsidRPr="00F24672">
        <w:rPr>
          <w:rFonts w:ascii="Arial" w:hAnsi="Arial" w:cs="Arial"/>
          <w:sz w:val="20"/>
          <w:szCs w:val="20"/>
        </w:rPr>
        <w:t xml:space="preserve"> </w:t>
      </w:r>
    </w:p>
    <w:p w14:paraId="532E882E" w14:textId="68E14E38" w:rsidR="00F372F0" w:rsidRPr="00F24672" w:rsidRDefault="00C70546" w:rsidP="00F946C1">
      <w:pPr>
        <w:pStyle w:val="Odstavecseseznamem"/>
        <w:numPr>
          <w:ilvl w:val="0"/>
          <w:numId w:val="1"/>
        </w:numPr>
        <w:spacing w:line="276" w:lineRule="auto"/>
        <w:contextualSpacing w:val="0"/>
        <w:jc w:val="center"/>
        <w:rPr>
          <w:rFonts w:ascii="Arial" w:hAnsi="Arial" w:cs="Arial"/>
          <w:b/>
          <w:sz w:val="20"/>
          <w:szCs w:val="20"/>
        </w:rPr>
      </w:pPr>
      <w:r w:rsidRPr="00F24672">
        <w:rPr>
          <w:rFonts w:ascii="Arial" w:hAnsi="Arial" w:cs="Arial"/>
          <w:b/>
          <w:sz w:val="20"/>
          <w:szCs w:val="20"/>
        </w:rPr>
        <w:t>Ustanovení o dodán</w:t>
      </w:r>
      <w:r w:rsidR="00F372F0" w:rsidRPr="00F24672">
        <w:rPr>
          <w:rFonts w:ascii="Arial" w:hAnsi="Arial" w:cs="Arial"/>
          <w:b/>
          <w:sz w:val="20"/>
          <w:szCs w:val="20"/>
        </w:rPr>
        <w:t>í</w:t>
      </w:r>
      <w:r w:rsidR="00E865DF" w:rsidRPr="00F24672">
        <w:rPr>
          <w:rFonts w:ascii="Arial" w:hAnsi="Arial" w:cs="Arial"/>
          <w:b/>
          <w:sz w:val="20"/>
          <w:szCs w:val="20"/>
        </w:rPr>
        <w:t>, garantovaný odběr</w:t>
      </w:r>
    </w:p>
    <w:p w14:paraId="3B2B3D1B" w14:textId="1A92791A" w:rsidR="00F372F0"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bCs/>
          <w:sz w:val="20"/>
          <w:szCs w:val="20"/>
        </w:rPr>
      </w:pPr>
      <w:r w:rsidRPr="00F24672">
        <w:rPr>
          <w:rFonts w:ascii="Arial" w:hAnsi="Arial" w:cs="Arial"/>
          <w:sz w:val="20"/>
          <w:szCs w:val="20"/>
        </w:rPr>
        <w:t>Ustanovení této části se vztahují obecně na dodání dle dohody, není-li jinde uvedeno jinak.</w:t>
      </w:r>
    </w:p>
    <w:p w14:paraId="53296BAB" w14:textId="3C4D0DA9" w:rsidR="00F372F0" w:rsidRPr="00F24672" w:rsidRDefault="00F372F0" w:rsidP="00E07E68">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bookmarkStart w:id="1" w:name="_Ref181592039"/>
      <w:bookmarkStart w:id="2" w:name="_Ref148903260"/>
      <w:r w:rsidRPr="00F24672">
        <w:rPr>
          <w:rFonts w:ascii="Arial" w:hAnsi="Arial" w:cs="Arial"/>
          <w:sz w:val="20"/>
          <w:szCs w:val="20"/>
        </w:rPr>
        <w:t>P</w:t>
      </w:r>
      <w:bookmarkEnd w:id="1"/>
      <w:bookmarkEnd w:id="2"/>
      <w:r w:rsidR="00C70546" w:rsidRPr="00F24672">
        <w:rPr>
          <w:rFonts w:ascii="Arial" w:hAnsi="Arial" w:cs="Arial"/>
          <w:sz w:val="20"/>
          <w:szCs w:val="20"/>
        </w:rPr>
        <w:t>lnění dle dohody bude probíhat na základě jednotlivých dílčích objednávek, a to následujícím způsobem:</w:t>
      </w:r>
    </w:p>
    <w:p w14:paraId="569F4E18" w14:textId="5FFAB494"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Kupující zašle prodávajícímu dílčí objednávku (skrze kontaktní osoby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5</w:t>
      </w:r>
      <w:r w:rsidR="004A0E10">
        <w:rPr>
          <w:rFonts w:ascii="Arial" w:hAnsi="Arial" w:cs="Arial"/>
          <w:sz w:val="20"/>
          <w:szCs w:val="20"/>
        </w:rPr>
        <w:t>. dohody</w:t>
      </w:r>
      <w:r w:rsidRPr="00F24672">
        <w:rPr>
          <w:rFonts w:ascii="Arial" w:hAnsi="Arial" w:cs="Arial"/>
          <w:sz w:val="20"/>
          <w:szCs w:val="20"/>
        </w:rPr>
        <w:t xml:space="preserve">). Pro účely </w:t>
      </w:r>
      <w:r w:rsidR="00B341E7">
        <w:rPr>
          <w:rFonts w:ascii="Arial" w:hAnsi="Arial" w:cs="Arial"/>
          <w:sz w:val="20"/>
          <w:szCs w:val="20"/>
        </w:rPr>
        <w:t xml:space="preserve">dohody </w:t>
      </w:r>
      <w:r w:rsidRPr="00F24672">
        <w:rPr>
          <w:rFonts w:ascii="Arial" w:hAnsi="Arial" w:cs="Arial"/>
          <w:sz w:val="20"/>
          <w:szCs w:val="20"/>
        </w:rPr>
        <w:t>se má za to, že dílčí objednávka bude zaslána kontaktní osobou skrze její e-mail. V dílčí objednávce bude specifikováno množství objednávaného zboží dle technické specifikace</w:t>
      </w:r>
      <w:r w:rsidR="004A0E10">
        <w:rPr>
          <w:rFonts w:ascii="Arial" w:hAnsi="Arial" w:cs="Arial"/>
          <w:sz w:val="20"/>
          <w:szCs w:val="20"/>
        </w:rPr>
        <w:t xml:space="preserve"> a místo dodání</w:t>
      </w:r>
      <w:r w:rsidRPr="00F24672">
        <w:rPr>
          <w:rFonts w:ascii="Arial" w:hAnsi="Arial" w:cs="Arial"/>
          <w:sz w:val="20"/>
          <w:szCs w:val="20"/>
        </w:rPr>
        <w:t>;</w:t>
      </w:r>
    </w:p>
    <w:p w14:paraId="780284FC" w14:textId="3C41E137"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Má se za to, že prodávající potvrdí přijetí dílčí objednávky tak, že objednávka kupujícího bude doručen</w:t>
      </w:r>
      <w:r w:rsidR="004E0094">
        <w:rPr>
          <w:rFonts w:ascii="Arial" w:hAnsi="Arial" w:cs="Arial"/>
          <w:sz w:val="20"/>
          <w:szCs w:val="20"/>
        </w:rPr>
        <w:t>a</w:t>
      </w:r>
      <w:r w:rsidRPr="00F24672">
        <w:rPr>
          <w:rFonts w:ascii="Arial" w:hAnsi="Arial" w:cs="Arial"/>
          <w:sz w:val="20"/>
          <w:szCs w:val="20"/>
        </w:rPr>
        <w:t xml:space="preserve"> na poštovní server prodávajícího – tímto okamžikem je uzavřena kupní smlouva na základě dílčí objednávky.</w:t>
      </w:r>
    </w:p>
    <w:p w14:paraId="29C8F842" w14:textId="23BDC30E" w:rsidR="00F372F0" w:rsidRPr="00F24672" w:rsidRDefault="00B0294E" w:rsidP="00016F8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Lhůta pro dodání zboží činí </w:t>
      </w:r>
      <w:r w:rsidR="004A0E10">
        <w:rPr>
          <w:rFonts w:ascii="Arial" w:hAnsi="Arial" w:cs="Arial"/>
          <w:b/>
          <w:sz w:val="20"/>
          <w:szCs w:val="20"/>
        </w:rPr>
        <w:t>14 dnů</w:t>
      </w:r>
      <w:r w:rsidRPr="00F24672">
        <w:rPr>
          <w:rFonts w:ascii="Arial" w:hAnsi="Arial" w:cs="Arial"/>
          <w:b/>
          <w:sz w:val="20"/>
          <w:szCs w:val="20"/>
        </w:rPr>
        <w:t xml:space="preserve"> </w:t>
      </w:r>
      <w:r w:rsidRPr="00F24672">
        <w:rPr>
          <w:rFonts w:ascii="Arial" w:hAnsi="Arial" w:cs="Arial"/>
          <w:sz w:val="20"/>
          <w:szCs w:val="20"/>
        </w:rPr>
        <w:t xml:space="preserve">od uzavření dílčí objednávky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2</w:t>
      </w:r>
      <w:r w:rsidR="008265FF" w:rsidRPr="00F24672">
        <w:rPr>
          <w:rFonts w:ascii="Arial" w:hAnsi="Arial" w:cs="Arial"/>
          <w:sz w:val="20"/>
          <w:szCs w:val="20"/>
        </w:rPr>
        <w:t>.</w:t>
      </w:r>
      <w:r w:rsidR="004A0E10">
        <w:rPr>
          <w:rFonts w:ascii="Arial" w:hAnsi="Arial" w:cs="Arial"/>
          <w:sz w:val="20"/>
          <w:szCs w:val="20"/>
        </w:rPr>
        <w:t xml:space="preserve"> dohody</w:t>
      </w:r>
      <w:r w:rsidRPr="00F24672">
        <w:rPr>
          <w:rFonts w:ascii="Arial" w:hAnsi="Arial" w:cs="Arial"/>
          <w:sz w:val="20"/>
          <w:szCs w:val="20"/>
        </w:rPr>
        <w:t>, ledaže se strany</w:t>
      </w:r>
      <w:r w:rsidR="004A0E10">
        <w:rPr>
          <w:rFonts w:ascii="Arial" w:hAnsi="Arial" w:cs="Arial"/>
          <w:sz w:val="20"/>
          <w:szCs w:val="20"/>
        </w:rPr>
        <w:t xml:space="preserve"> vzájemně</w:t>
      </w:r>
      <w:r w:rsidRPr="00F24672">
        <w:rPr>
          <w:rFonts w:ascii="Arial" w:hAnsi="Arial" w:cs="Arial"/>
          <w:sz w:val="20"/>
          <w:szCs w:val="20"/>
        </w:rPr>
        <w:t xml:space="preserve"> dohodnou v jednotlivém případě jinak.</w:t>
      </w:r>
    </w:p>
    <w:p w14:paraId="43E8E423" w14:textId="5C127CD7"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Dodáním zboží se rozumí jeho převzetí kupujícím, tj. jeho řádné dodání na místo dodání a vystavení předávacího a akceptační protokolu po úspěšném převzetí zboží kupujícím, případně prodávající vystaví dodací list kupujícímu a kupující na něj poznačí, že zboží akceptuje, pokud nastaly akceptační podmínky pro převzetí zboží dle dohody, zboží je kompletní a prosté vad a odpovídá dílčí objednávce.</w:t>
      </w:r>
    </w:p>
    <w:p w14:paraId="04514FB6" w14:textId="295DD37A"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Osobami pověřenými jednat za smluvní strany při plnění dle dohody jsou: </w:t>
      </w:r>
    </w:p>
    <w:p w14:paraId="6FA5C49B" w14:textId="53EB8FB8" w:rsidR="00B0294E"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kupujícího:</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5884ECDA" w14:textId="6DC56A4B" w:rsidR="00F372F0"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prodávajícího:</w:t>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04B76044" w14:textId="7D5788A8" w:rsidR="00B0294E" w:rsidRPr="00F24672" w:rsidRDefault="00B0294E" w:rsidP="00F946C1">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Místem plnění se rozumí:</w:t>
      </w:r>
    </w:p>
    <w:p w14:paraId="226B0011" w14:textId="17D29074" w:rsidR="004A0E10" w:rsidRDefault="004A0E10" w:rsidP="004A0E10">
      <w:pPr>
        <w:pStyle w:val="Odstavecseseznamem"/>
        <w:numPr>
          <w:ilvl w:val="0"/>
          <w:numId w:val="16"/>
        </w:numPr>
        <w:spacing w:line="276" w:lineRule="auto"/>
        <w:contextualSpacing w:val="0"/>
        <w:jc w:val="both"/>
        <w:rPr>
          <w:rFonts w:ascii="Arial" w:hAnsi="Arial" w:cs="Arial"/>
          <w:bCs/>
          <w:sz w:val="20"/>
          <w:szCs w:val="20"/>
        </w:rPr>
      </w:pPr>
      <w:r w:rsidRPr="00C870F1">
        <w:rPr>
          <w:rFonts w:ascii="Arial" w:hAnsi="Arial" w:cs="Arial"/>
          <w:bCs/>
          <w:sz w:val="20"/>
          <w:szCs w:val="20"/>
        </w:rPr>
        <w:t xml:space="preserve">sídlo </w:t>
      </w:r>
      <w:r w:rsidR="00CE7435">
        <w:rPr>
          <w:rFonts w:ascii="Arial" w:hAnsi="Arial" w:cs="Arial"/>
          <w:bCs/>
          <w:sz w:val="20"/>
          <w:szCs w:val="20"/>
        </w:rPr>
        <w:t xml:space="preserve">kupujícího </w:t>
      </w:r>
      <w:r w:rsidRPr="00C870F1">
        <w:rPr>
          <w:rFonts w:ascii="Arial" w:hAnsi="Arial" w:cs="Arial"/>
          <w:bCs/>
          <w:sz w:val="20"/>
          <w:szCs w:val="20"/>
        </w:rPr>
        <w:t xml:space="preserve">na adrese Nové sady 988/2, Staré Brno, 602 00 Brno nebo </w:t>
      </w:r>
    </w:p>
    <w:p w14:paraId="4EFBCD3A" w14:textId="53031477" w:rsidR="004A0E10" w:rsidRPr="004A0E10" w:rsidRDefault="004A0E10" w:rsidP="004A0E10">
      <w:pPr>
        <w:pStyle w:val="Odstavecseseznamem"/>
        <w:numPr>
          <w:ilvl w:val="0"/>
          <w:numId w:val="16"/>
        </w:numPr>
        <w:spacing w:line="276" w:lineRule="auto"/>
        <w:contextualSpacing w:val="0"/>
        <w:jc w:val="both"/>
        <w:rPr>
          <w:rFonts w:ascii="Arial" w:hAnsi="Arial" w:cs="Arial"/>
          <w:sz w:val="20"/>
          <w:szCs w:val="20"/>
        </w:rPr>
      </w:pPr>
      <w:r w:rsidRPr="00C870F1">
        <w:rPr>
          <w:rFonts w:ascii="Arial" w:hAnsi="Arial" w:cs="Arial"/>
          <w:bCs/>
          <w:sz w:val="20"/>
          <w:szCs w:val="20"/>
        </w:rPr>
        <w:lastRenderedPageBreak/>
        <w:t xml:space="preserve">nově vybudovaný ústav Sanatoria Pálava, </w:t>
      </w:r>
      <w:r w:rsidRPr="001F46E1">
        <w:rPr>
          <w:rFonts w:ascii="Arial" w:hAnsi="Arial" w:cs="Arial"/>
          <w:bCs/>
          <w:sz w:val="20"/>
          <w:szCs w:val="20"/>
        </w:rPr>
        <w:t>na</w:t>
      </w:r>
      <w:r>
        <w:rPr>
          <w:rFonts w:ascii="Arial" w:hAnsi="Arial" w:cs="Arial"/>
          <w:bCs/>
          <w:sz w:val="20"/>
          <w:szCs w:val="20"/>
        </w:rPr>
        <w:t> </w:t>
      </w:r>
      <w:r w:rsidRPr="001F46E1">
        <w:rPr>
          <w:rFonts w:ascii="Arial" w:hAnsi="Arial" w:cs="Arial"/>
          <w:bCs/>
          <w:sz w:val="20"/>
          <w:szCs w:val="20"/>
        </w:rPr>
        <w:t xml:space="preserve">adrese Pasohlávky, p. č. 3163/770 v k. </w:t>
      </w:r>
      <w:proofErr w:type="spellStart"/>
      <w:r w:rsidRPr="001F46E1">
        <w:rPr>
          <w:rFonts w:ascii="Arial" w:hAnsi="Arial" w:cs="Arial"/>
          <w:bCs/>
          <w:sz w:val="20"/>
          <w:szCs w:val="20"/>
        </w:rPr>
        <w:t>ú.</w:t>
      </w:r>
      <w:proofErr w:type="spellEnd"/>
      <w:r w:rsidRPr="001F46E1">
        <w:rPr>
          <w:rFonts w:ascii="Arial" w:hAnsi="Arial" w:cs="Arial"/>
          <w:bCs/>
          <w:sz w:val="20"/>
          <w:szCs w:val="20"/>
        </w:rPr>
        <w:t xml:space="preserve"> Mušov (48.</w:t>
      </w:r>
      <w:proofErr w:type="gramStart"/>
      <w:r w:rsidRPr="001F46E1">
        <w:rPr>
          <w:rFonts w:ascii="Arial" w:hAnsi="Arial" w:cs="Arial"/>
          <w:bCs/>
          <w:sz w:val="20"/>
          <w:szCs w:val="20"/>
        </w:rPr>
        <w:t>8999978N</w:t>
      </w:r>
      <w:proofErr w:type="gramEnd"/>
      <w:r w:rsidRPr="001F46E1">
        <w:rPr>
          <w:rFonts w:ascii="Arial" w:hAnsi="Arial" w:cs="Arial"/>
          <w:bCs/>
          <w:sz w:val="20"/>
          <w:szCs w:val="20"/>
        </w:rPr>
        <w:t>, 16.5589844E)</w:t>
      </w:r>
      <w:r>
        <w:rPr>
          <w:rFonts w:ascii="Arial" w:hAnsi="Arial" w:cs="Arial"/>
          <w:bCs/>
          <w:sz w:val="20"/>
          <w:szCs w:val="20"/>
        </w:rPr>
        <w:t>,</w:t>
      </w:r>
    </w:p>
    <w:p w14:paraId="548991DA" w14:textId="6E36B317" w:rsidR="00F372F0" w:rsidRPr="00F24672" w:rsidRDefault="004A0E10" w:rsidP="004A0E10">
      <w:pPr>
        <w:pStyle w:val="Odstavecseseznamem"/>
        <w:spacing w:line="276" w:lineRule="auto"/>
        <w:ind w:left="1429"/>
        <w:contextualSpacing w:val="0"/>
        <w:jc w:val="both"/>
        <w:rPr>
          <w:rFonts w:ascii="Arial" w:hAnsi="Arial" w:cs="Arial"/>
          <w:sz w:val="20"/>
          <w:szCs w:val="20"/>
        </w:rPr>
      </w:pPr>
      <w:r>
        <w:rPr>
          <w:rFonts w:ascii="Arial" w:hAnsi="Arial" w:cs="Arial"/>
          <w:bCs/>
          <w:sz w:val="20"/>
          <w:szCs w:val="20"/>
        </w:rPr>
        <w:t>v konkrétním případě vždy sdělí kupující, o které místo dodání se bude jednat.</w:t>
      </w:r>
    </w:p>
    <w:p w14:paraId="3F1585DD" w14:textId="0CEDB646" w:rsidR="00F372F0" w:rsidRPr="00F24672" w:rsidRDefault="00B0294E"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Odpovědnost za škodu za zboží dle dílčí objednávky přechází z prodávajícího na kupujícího nejdříve až řádným dodáním zboží a podpisem předávacího a akceptačního protokolu dle odst.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7B6A4179" w14:textId="04E42254" w:rsidR="00E865DF" w:rsidRPr="00F24672" w:rsidRDefault="00E865DF"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 se zavazuje odebrat nejméně 30 kusů zboží</w:t>
      </w:r>
      <w:r w:rsidR="00A9319B" w:rsidRPr="00F24672">
        <w:rPr>
          <w:rFonts w:ascii="Arial" w:hAnsi="Arial" w:cs="Arial"/>
          <w:sz w:val="20"/>
          <w:szCs w:val="20"/>
        </w:rPr>
        <w:t xml:space="preserve"> (dále jen „garantovaný odběr“)</w:t>
      </w:r>
      <w:r w:rsidR="004A0E10">
        <w:rPr>
          <w:rFonts w:ascii="Arial" w:hAnsi="Arial" w:cs="Arial"/>
          <w:sz w:val="20"/>
          <w:szCs w:val="20"/>
        </w:rPr>
        <w:t>, a to nejpozději</w:t>
      </w:r>
      <w:r w:rsidR="00A9319B" w:rsidRPr="00F24672">
        <w:rPr>
          <w:rFonts w:ascii="Arial" w:hAnsi="Arial" w:cs="Arial"/>
          <w:sz w:val="20"/>
          <w:szCs w:val="20"/>
        </w:rPr>
        <w:t xml:space="preserve"> do 1. 8. 2026.</w:t>
      </w:r>
    </w:p>
    <w:p w14:paraId="4E8E9A5E" w14:textId="10FE7CE4" w:rsidR="00E865DF" w:rsidRPr="00CE7435" w:rsidRDefault="00A9319B" w:rsidP="00B0294E">
      <w:pPr>
        <w:pStyle w:val="Odstavecseseznamem"/>
        <w:numPr>
          <w:ilvl w:val="1"/>
          <w:numId w:val="1"/>
        </w:numPr>
        <w:spacing w:line="276" w:lineRule="auto"/>
        <w:ind w:left="709" w:hanging="709"/>
        <w:contextualSpacing w:val="0"/>
        <w:jc w:val="both"/>
        <w:rPr>
          <w:rFonts w:ascii="Arial" w:hAnsi="Arial" w:cs="Arial"/>
          <w:b/>
          <w:bCs/>
          <w:sz w:val="20"/>
          <w:szCs w:val="20"/>
        </w:rPr>
      </w:pPr>
      <w:r w:rsidRPr="00CE7435">
        <w:rPr>
          <w:rFonts w:ascii="Arial" w:hAnsi="Arial" w:cs="Arial"/>
          <w:b/>
          <w:bCs/>
          <w:sz w:val="20"/>
          <w:szCs w:val="20"/>
        </w:rPr>
        <w:t>Prodávající se</w:t>
      </w:r>
      <w:r w:rsidR="004A0E10" w:rsidRPr="00CE7435">
        <w:rPr>
          <w:rFonts w:ascii="Arial" w:hAnsi="Arial" w:cs="Arial"/>
          <w:b/>
          <w:bCs/>
          <w:sz w:val="20"/>
          <w:szCs w:val="20"/>
        </w:rPr>
        <w:t xml:space="preserve"> na základě uzavření dohody</w:t>
      </w:r>
      <w:r w:rsidRPr="00CE7435">
        <w:rPr>
          <w:rFonts w:ascii="Arial" w:hAnsi="Arial" w:cs="Arial"/>
          <w:b/>
          <w:bCs/>
          <w:sz w:val="20"/>
          <w:szCs w:val="20"/>
        </w:rPr>
        <w:t xml:space="preserve"> zavazuje, že dodá</w:t>
      </w:r>
      <w:r w:rsidR="004A0E10" w:rsidRPr="00CE7435">
        <w:rPr>
          <w:rFonts w:ascii="Arial" w:hAnsi="Arial" w:cs="Arial"/>
          <w:b/>
          <w:bCs/>
          <w:sz w:val="20"/>
          <w:szCs w:val="20"/>
        </w:rPr>
        <w:t xml:space="preserve"> 5 ks zboží</w:t>
      </w:r>
      <w:r w:rsidRPr="00CE7435">
        <w:rPr>
          <w:rFonts w:ascii="Arial" w:hAnsi="Arial" w:cs="Arial"/>
          <w:b/>
          <w:bCs/>
          <w:sz w:val="20"/>
          <w:szCs w:val="20"/>
        </w:rPr>
        <w:t xml:space="preserve"> do 14 dnů od </w:t>
      </w:r>
      <w:r w:rsidR="004A0E10" w:rsidRPr="00CE7435">
        <w:rPr>
          <w:rFonts w:ascii="Arial" w:hAnsi="Arial" w:cs="Arial"/>
          <w:b/>
          <w:bCs/>
          <w:sz w:val="20"/>
          <w:szCs w:val="20"/>
        </w:rPr>
        <w:t>nabytí účinnosti</w:t>
      </w:r>
      <w:r w:rsidRPr="00CE7435">
        <w:rPr>
          <w:rFonts w:ascii="Arial" w:hAnsi="Arial" w:cs="Arial"/>
          <w:b/>
          <w:bCs/>
          <w:sz w:val="20"/>
          <w:szCs w:val="20"/>
        </w:rPr>
        <w:t xml:space="preserve"> </w:t>
      </w:r>
      <w:r w:rsidR="00CE7435" w:rsidRPr="00CE7435">
        <w:rPr>
          <w:rFonts w:ascii="Arial" w:hAnsi="Arial" w:cs="Arial"/>
          <w:b/>
          <w:bCs/>
          <w:sz w:val="20"/>
          <w:szCs w:val="20"/>
        </w:rPr>
        <w:t>dohody, a to na adresu sídla kupujícího</w:t>
      </w:r>
      <w:r w:rsidR="004A0E10" w:rsidRPr="00CE7435">
        <w:rPr>
          <w:rFonts w:ascii="Arial" w:hAnsi="Arial" w:cs="Arial"/>
          <w:b/>
          <w:bCs/>
          <w:sz w:val="20"/>
          <w:szCs w:val="20"/>
        </w:rPr>
        <w:t>,</w:t>
      </w:r>
      <w:r w:rsidR="00CE7435" w:rsidRPr="00CE7435">
        <w:rPr>
          <w:rFonts w:ascii="Arial" w:hAnsi="Arial" w:cs="Arial"/>
          <w:b/>
          <w:bCs/>
          <w:sz w:val="20"/>
          <w:szCs w:val="20"/>
        </w:rPr>
        <w:t xml:space="preserve"> přičemž</w:t>
      </w:r>
      <w:r w:rsidR="004A0E10" w:rsidRPr="00CE7435">
        <w:rPr>
          <w:rFonts w:ascii="Arial" w:hAnsi="Arial" w:cs="Arial"/>
          <w:b/>
          <w:bCs/>
          <w:sz w:val="20"/>
          <w:szCs w:val="20"/>
        </w:rPr>
        <w:t xml:space="preserve"> na tuto dodávku se obdobně použijí pravidla pro dílčí objednávky s tím, že k jejímu uzavření v tomto případě dochází přímo nabytím účinnosti dohody</w:t>
      </w:r>
      <w:r w:rsidRPr="00CE7435">
        <w:rPr>
          <w:rFonts w:ascii="Arial" w:hAnsi="Arial" w:cs="Arial"/>
          <w:b/>
          <w:bCs/>
          <w:sz w:val="20"/>
          <w:szCs w:val="20"/>
        </w:rPr>
        <w:t>.</w:t>
      </w:r>
      <w:r w:rsidR="00E865DF" w:rsidRPr="00CE7435">
        <w:rPr>
          <w:rFonts w:ascii="Arial" w:hAnsi="Arial" w:cs="Arial"/>
          <w:b/>
          <w:bCs/>
          <w:sz w:val="20"/>
          <w:szCs w:val="20"/>
        </w:rPr>
        <w:t xml:space="preserve"> </w:t>
      </w:r>
    </w:p>
    <w:p w14:paraId="29F205B9" w14:textId="5CBC41C2"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bookmarkStart w:id="3" w:name="_Ref148903246"/>
      <w:r w:rsidRPr="00F24672">
        <w:rPr>
          <w:rFonts w:ascii="Arial" w:hAnsi="Arial" w:cs="Arial"/>
          <w:b/>
          <w:sz w:val="20"/>
          <w:szCs w:val="20"/>
        </w:rPr>
        <w:t>C</w:t>
      </w:r>
      <w:r w:rsidR="00F372F0" w:rsidRPr="00F24672">
        <w:rPr>
          <w:rFonts w:ascii="Arial" w:hAnsi="Arial" w:cs="Arial"/>
          <w:b/>
          <w:sz w:val="20"/>
          <w:szCs w:val="20"/>
        </w:rPr>
        <w:t>ena a platební podmínky</w:t>
      </w:r>
      <w:bookmarkEnd w:id="3"/>
    </w:p>
    <w:p w14:paraId="44D2629F" w14:textId="37A40761" w:rsidR="00F372F0" w:rsidRPr="00F24672" w:rsidRDefault="00F372F0" w:rsidP="00F946C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bookmarkStart w:id="4" w:name="_Ref148903277"/>
      <w:r w:rsidRPr="00F24672">
        <w:rPr>
          <w:rFonts w:ascii="Arial" w:hAnsi="Arial" w:cs="Arial"/>
          <w:sz w:val="20"/>
          <w:szCs w:val="20"/>
        </w:rPr>
        <w:t>Ce</w:t>
      </w:r>
      <w:r w:rsidR="00B0294E" w:rsidRPr="00F24672">
        <w:rPr>
          <w:rFonts w:ascii="Arial" w:hAnsi="Arial" w:cs="Arial"/>
          <w:sz w:val="20"/>
          <w:szCs w:val="20"/>
        </w:rPr>
        <w:t xml:space="preserve">na za </w:t>
      </w:r>
      <w:r w:rsidR="00CE7435">
        <w:rPr>
          <w:rFonts w:ascii="Arial" w:hAnsi="Arial" w:cs="Arial"/>
          <w:sz w:val="20"/>
          <w:szCs w:val="20"/>
        </w:rPr>
        <w:t xml:space="preserve">1 kus </w:t>
      </w:r>
      <w:r w:rsidR="00B0294E" w:rsidRPr="00F24672">
        <w:rPr>
          <w:rFonts w:ascii="Arial" w:hAnsi="Arial" w:cs="Arial"/>
          <w:sz w:val="20"/>
          <w:szCs w:val="20"/>
        </w:rPr>
        <w:t>zboží je uvedena v cenovém rozpadu. Cena je sjednána jako maximální možná</w:t>
      </w:r>
      <w:r w:rsidRPr="00F24672">
        <w:rPr>
          <w:rFonts w:ascii="Arial" w:hAnsi="Arial" w:cs="Arial"/>
          <w:sz w:val="20"/>
          <w:szCs w:val="20"/>
        </w:rPr>
        <w:t>.</w:t>
      </w:r>
      <w:bookmarkEnd w:id="4"/>
      <w:r w:rsidRPr="00F24672">
        <w:rPr>
          <w:rFonts w:ascii="Arial" w:hAnsi="Arial" w:cs="Arial"/>
          <w:sz w:val="20"/>
          <w:szCs w:val="20"/>
        </w:rPr>
        <w:t xml:space="preserve"> </w:t>
      </w:r>
    </w:p>
    <w:p w14:paraId="2F7E19FF" w14:textId="209753B8" w:rsidR="0014093B" w:rsidRPr="00F24672" w:rsidRDefault="00F372F0"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Ce</w:t>
      </w:r>
      <w:r w:rsidR="00B0294E" w:rsidRPr="00F24672">
        <w:rPr>
          <w:rFonts w:ascii="Arial" w:hAnsi="Arial" w:cs="Arial"/>
          <w:sz w:val="20"/>
          <w:szCs w:val="20"/>
        </w:rPr>
        <w:t>lková cena za dodání zboží dle dílčí objednávky bude prodávajícímu uhrazena kupujícím oproti vystavenému daňovému dokladu (faktuře). K úhradě dochází okamžikem odepsání platby z bankovního účtu kupujícího po zadání platebního příkazu kupujícím.</w:t>
      </w:r>
    </w:p>
    <w:p w14:paraId="70976D38" w14:textId="029CB7E7"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je oprávněn vystavit daňový doklad (fakturu) teprve po řádném dodání zboží za dílčí objednávku kupujícímu, tj.  po podepsání příslušného předávacího a akceptačního </w:t>
      </w:r>
      <w:r w:rsidR="004E0094">
        <w:rPr>
          <w:rFonts w:ascii="Arial" w:hAnsi="Arial" w:cs="Arial"/>
          <w:sz w:val="20"/>
          <w:szCs w:val="20"/>
        </w:rPr>
        <w:t xml:space="preserve">protokolu </w:t>
      </w:r>
      <w:r w:rsidRPr="00F24672">
        <w:rPr>
          <w:rFonts w:ascii="Arial" w:hAnsi="Arial" w:cs="Arial"/>
          <w:sz w:val="20"/>
          <w:szCs w:val="20"/>
        </w:rPr>
        <w:t xml:space="preserve">dle čl.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dohody. Předávací a akceptační protokol (v kopii) bude přílohou vystaveného daňového dokladu (faktury).</w:t>
      </w:r>
    </w:p>
    <w:p w14:paraId="649C1A5F" w14:textId="25F56534"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Splatnost řádně vystaveného daňového dokladu (faktury) činí 30 dní od data jeho doručení kupujícímu. Daňový doklad (faktura) musí obsahovat veškeré údaje vyžadované příslušnými právními předpisy, včetně čísla dílčí objednávky kupujícího. Kupující může ve lhůtě splatnosti daňový doklad (fakturu) vrátit, obsahuje-li nesprávné nebo neúplné cenové údaje, nesprávné nebo neúplné náležitosti dle právních předpisů; v tomto případě je kupující povinen daňový doklad (fakturu) vrátit s uvedením důvodu vrácení. Tímto okamžikem se ruší lhůta splatnosti a nová lhůta splatnosti počne běžet doručením daňového dokladu (faktury) nového nebo opraveného.</w:t>
      </w:r>
      <w:r w:rsidR="00F372F0" w:rsidRPr="00F24672">
        <w:rPr>
          <w:rFonts w:ascii="Arial" w:hAnsi="Arial" w:cs="Arial"/>
          <w:sz w:val="20"/>
          <w:szCs w:val="20"/>
        </w:rPr>
        <w:t xml:space="preserve"> </w:t>
      </w:r>
    </w:p>
    <w:p w14:paraId="53AC9BFB" w14:textId="1F9A1E1C"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69036804" w14:textId="32133F03" w:rsidR="00815CB3"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 případě, že kupující uvede v dílčí objednávce označení projektu, z něhož je příslušná dílčí objednávka hrazena, je prodávající povinen jej na daňovém dokladu (faktuře) uvést. V případě, že jej neuvede, užije se obdobně odst. </w:t>
      </w:r>
      <w:r w:rsidR="008265FF" w:rsidRPr="00F24672">
        <w:rPr>
          <w:rFonts w:ascii="Arial" w:hAnsi="Arial" w:cs="Arial"/>
          <w:sz w:val="20"/>
          <w:szCs w:val="20"/>
        </w:rPr>
        <w:t>3.</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0A8F89A2" w14:textId="6CF2A4EE"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Záruka a záruční doba</w:t>
      </w:r>
    </w:p>
    <w:p w14:paraId="3F9FB344" w14:textId="325C1D0C" w:rsidR="00F372F0" w:rsidRPr="00F24672" w:rsidRDefault="00F372F0"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bookmarkStart w:id="5" w:name="_Ref532978563"/>
      <w:r w:rsidRPr="00F24672">
        <w:rPr>
          <w:rFonts w:ascii="Arial" w:hAnsi="Arial" w:cs="Arial"/>
          <w:sz w:val="20"/>
          <w:szCs w:val="20"/>
        </w:rPr>
        <w:t xml:space="preserve">Prodávající </w:t>
      </w:r>
      <w:r w:rsidR="00B0294E" w:rsidRPr="00F24672">
        <w:rPr>
          <w:rFonts w:ascii="Arial" w:hAnsi="Arial" w:cs="Arial"/>
          <w:sz w:val="20"/>
          <w:szCs w:val="20"/>
        </w:rPr>
        <w:t xml:space="preserve">poskytuje ke zboží záruku za </w:t>
      </w:r>
      <w:r w:rsidR="00B0294E" w:rsidRPr="00CE7435">
        <w:rPr>
          <w:rFonts w:ascii="Arial" w:hAnsi="Arial" w:cs="Arial"/>
          <w:sz w:val="20"/>
          <w:szCs w:val="20"/>
        </w:rPr>
        <w:t xml:space="preserve">jakost v délce nejméně </w:t>
      </w:r>
      <w:r w:rsidR="00CE7435" w:rsidRPr="00CE7435">
        <w:rPr>
          <w:rFonts w:ascii="Arial" w:hAnsi="Arial" w:cs="Arial"/>
          <w:sz w:val="20"/>
          <w:szCs w:val="20"/>
        </w:rPr>
        <w:t>2 let na notebook a v délce nejméně 1 roku na baterii notebooku</w:t>
      </w:r>
      <w:r w:rsidR="00B0294E" w:rsidRPr="00CE7435">
        <w:rPr>
          <w:rFonts w:ascii="Arial" w:hAnsi="Arial" w:cs="Arial"/>
          <w:sz w:val="20"/>
          <w:szCs w:val="20"/>
        </w:rPr>
        <w:t>. Počátek běhu záruční doby započíná okamžikem řádného převzetí zboží kupujícím, resp. podpisem akceptačního a předávacího protokolu k příslušné dílčí objednávce dle čl. </w:t>
      </w:r>
      <w:r w:rsidR="008265FF" w:rsidRPr="00CE7435">
        <w:rPr>
          <w:rFonts w:ascii="Arial" w:hAnsi="Arial" w:cs="Arial"/>
          <w:sz w:val="20"/>
          <w:szCs w:val="20"/>
        </w:rPr>
        <w:t>2.</w:t>
      </w:r>
      <w:r w:rsidR="00B0294E" w:rsidRPr="00CE7435">
        <w:rPr>
          <w:rFonts w:ascii="Arial" w:hAnsi="Arial" w:cs="Arial"/>
          <w:sz w:val="20"/>
          <w:szCs w:val="20"/>
        </w:rPr>
        <w:t>4</w:t>
      </w:r>
      <w:r w:rsidR="008265FF" w:rsidRPr="00CE7435">
        <w:rPr>
          <w:rFonts w:ascii="Arial" w:hAnsi="Arial" w:cs="Arial"/>
          <w:sz w:val="20"/>
          <w:szCs w:val="20"/>
        </w:rPr>
        <w:t>.</w:t>
      </w:r>
      <w:r w:rsidR="00B0294E" w:rsidRPr="00CE7435">
        <w:rPr>
          <w:rFonts w:ascii="Arial" w:hAnsi="Arial" w:cs="Arial"/>
          <w:sz w:val="20"/>
          <w:szCs w:val="20"/>
        </w:rPr>
        <w:t xml:space="preserve"> dohody.</w:t>
      </w:r>
    </w:p>
    <w:p w14:paraId="6CAD0002" w14:textId="61DBF595" w:rsidR="00F372F0" w:rsidRPr="00F24672" w:rsidRDefault="00B0294E"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Reklamaci případné vady kupující zašle prodávajícímu písemně, tj. výslovně i elektronickou poštou, a to i bez elektronického podpisu, s technickým popisem vady nebo i ústně (včetně telefonického nahlášení) (dále v textu jen „nahlášení vady“).</w:t>
      </w:r>
      <w:r w:rsidR="00F372F0" w:rsidRPr="00F24672">
        <w:rPr>
          <w:rFonts w:ascii="Arial" w:hAnsi="Arial" w:cs="Arial"/>
          <w:sz w:val="20"/>
          <w:szCs w:val="20"/>
        </w:rPr>
        <w:t xml:space="preserve"> </w:t>
      </w:r>
    </w:p>
    <w:p w14:paraId="6040F5F4" w14:textId="3EAAE5DB" w:rsidR="0014093B" w:rsidRPr="00F24672" w:rsidRDefault="00B0294E" w:rsidP="009B7B3F">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Prodávající reaguje na nahlášení vady, odstraní vady a vyřeší reklamace ve lhůtě a způsobem</w:t>
      </w:r>
      <w:r w:rsidR="00CE7435">
        <w:rPr>
          <w:rFonts w:ascii="Arial" w:hAnsi="Arial" w:cs="Arial"/>
          <w:sz w:val="20"/>
          <w:szCs w:val="20"/>
        </w:rPr>
        <w:t xml:space="preserve"> tzv.</w:t>
      </w:r>
      <w:r w:rsidR="00CE7435" w:rsidRPr="00CE7435">
        <w:rPr>
          <w:rFonts w:ascii="Arial" w:hAnsi="Arial" w:cs="Arial"/>
          <w:i/>
          <w:iCs/>
          <w:sz w:val="20"/>
          <w:szCs w:val="20"/>
        </w:rPr>
        <w:t xml:space="preserve"> </w:t>
      </w:r>
      <w:proofErr w:type="spellStart"/>
      <w:r w:rsidR="00CE7435" w:rsidRPr="00CE7435">
        <w:rPr>
          <w:rFonts w:ascii="Arial" w:hAnsi="Arial" w:cs="Arial"/>
          <w:i/>
          <w:iCs/>
          <w:sz w:val="20"/>
          <w:szCs w:val="20"/>
        </w:rPr>
        <w:t>next</w:t>
      </w:r>
      <w:proofErr w:type="spellEnd"/>
      <w:r w:rsidR="00CE7435" w:rsidRPr="00CE7435">
        <w:rPr>
          <w:rFonts w:ascii="Arial" w:hAnsi="Arial" w:cs="Arial"/>
          <w:i/>
          <w:iCs/>
          <w:sz w:val="20"/>
          <w:szCs w:val="20"/>
        </w:rPr>
        <w:t xml:space="preserve"> business </w:t>
      </w:r>
      <w:proofErr w:type="spellStart"/>
      <w:r w:rsidR="00CE7435" w:rsidRPr="00CE7435">
        <w:rPr>
          <w:rFonts w:ascii="Arial" w:hAnsi="Arial" w:cs="Arial"/>
          <w:i/>
          <w:iCs/>
          <w:sz w:val="20"/>
          <w:szCs w:val="20"/>
        </w:rPr>
        <w:t>day</w:t>
      </w:r>
      <w:proofErr w:type="spellEnd"/>
      <w:r w:rsidR="00CE7435" w:rsidRPr="00CE7435">
        <w:rPr>
          <w:rFonts w:ascii="Arial" w:hAnsi="Arial" w:cs="Arial"/>
          <w:i/>
          <w:iCs/>
          <w:sz w:val="20"/>
          <w:szCs w:val="20"/>
        </w:rPr>
        <w:t xml:space="preserve"> on-site</w:t>
      </w:r>
      <w:r w:rsidR="00CE7435">
        <w:rPr>
          <w:rFonts w:ascii="Arial" w:hAnsi="Arial" w:cs="Arial"/>
          <w:sz w:val="20"/>
          <w:szCs w:val="20"/>
        </w:rPr>
        <w:t xml:space="preserve">, tedy do </w:t>
      </w:r>
      <w:r w:rsidR="004E0094">
        <w:rPr>
          <w:rFonts w:ascii="Arial" w:hAnsi="Arial" w:cs="Arial"/>
          <w:sz w:val="20"/>
          <w:szCs w:val="20"/>
        </w:rPr>
        <w:t>následujícího</w:t>
      </w:r>
      <w:r w:rsidR="00CE7435">
        <w:rPr>
          <w:rFonts w:ascii="Arial" w:hAnsi="Arial" w:cs="Arial"/>
          <w:sz w:val="20"/>
          <w:szCs w:val="20"/>
        </w:rPr>
        <w:t xml:space="preserve"> pracovního dne od nahlášení vady, a to v prostorách kupujícího dle čl. 2.6. dohody.</w:t>
      </w:r>
    </w:p>
    <w:p w14:paraId="1C7DDE53" w14:textId="31F04874"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Dojde-li v záruční době k poruše nebo nefunkčnosti zboží z důvodů na straně kupujícího nebo z důvodů, které nelze přičítat prodávajícímu, platí pro prodávajícího závazky dle odst.</w:t>
      </w:r>
      <w:r w:rsidR="008265FF" w:rsidRPr="00F24672">
        <w:rPr>
          <w:rFonts w:ascii="Arial" w:hAnsi="Arial" w:cs="Arial"/>
          <w:sz w:val="20"/>
          <w:szCs w:val="20"/>
        </w:rPr>
        <w:t> 4.</w:t>
      </w:r>
      <w:r w:rsidRPr="00F24672">
        <w:rPr>
          <w:rFonts w:ascii="Arial" w:hAnsi="Arial" w:cs="Arial"/>
          <w:sz w:val="20"/>
          <w:szCs w:val="20"/>
        </w:rPr>
        <w:t>2</w:t>
      </w:r>
      <w:r w:rsidR="008265FF" w:rsidRPr="00F24672">
        <w:rPr>
          <w:rFonts w:ascii="Arial" w:hAnsi="Arial" w:cs="Arial"/>
          <w:sz w:val="20"/>
          <w:szCs w:val="20"/>
        </w:rPr>
        <w:t xml:space="preserve">. </w:t>
      </w:r>
      <w:r w:rsidRPr="00F24672">
        <w:rPr>
          <w:rFonts w:ascii="Arial" w:hAnsi="Arial" w:cs="Arial"/>
          <w:sz w:val="20"/>
          <w:szCs w:val="20"/>
        </w:rPr>
        <w:t xml:space="preserve">a </w:t>
      </w:r>
      <w:r w:rsidR="008265FF" w:rsidRPr="00F24672">
        <w:rPr>
          <w:rFonts w:ascii="Arial" w:hAnsi="Arial" w:cs="Arial"/>
          <w:sz w:val="20"/>
          <w:szCs w:val="20"/>
        </w:rPr>
        <w:t>4.3.</w:t>
      </w:r>
      <w:r w:rsidRPr="00F24672">
        <w:rPr>
          <w:rFonts w:ascii="Arial" w:hAnsi="Arial" w:cs="Arial"/>
          <w:sz w:val="20"/>
          <w:szCs w:val="20"/>
        </w:rPr>
        <w:t xml:space="preserve"> tohoto článku s tím, že nebude užito odst. </w:t>
      </w:r>
      <w:r w:rsidR="008265FF" w:rsidRPr="00F24672">
        <w:rPr>
          <w:rFonts w:ascii="Arial" w:hAnsi="Arial" w:cs="Arial"/>
          <w:sz w:val="20"/>
          <w:szCs w:val="20"/>
        </w:rPr>
        <w:t>4.6.</w:t>
      </w:r>
      <w:r w:rsidRPr="00F24672">
        <w:rPr>
          <w:rFonts w:ascii="Arial" w:hAnsi="Arial" w:cs="Arial"/>
          <w:sz w:val="20"/>
          <w:szCs w:val="20"/>
        </w:rPr>
        <w:t xml:space="preserve"> tohoto článku.</w:t>
      </w:r>
    </w:p>
    <w:p w14:paraId="1F56D2F4" w14:textId="12D326CF" w:rsidR="00F372F0" w:rsidRPr="00F24672" w:rsidRDefault="00C758E9" w:rsidP="00432FAD">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Uznané reklamace zboží, které nemohou být odstraněny opravou, budou řešeny výměnou vadného dílu za díl nový, případně celého zboží za bezvadné, a to na náklady prodávajícího.</w:t>
      </w:r>
      <w:r w:rsidR="00CE7435">
        <w:rPr>
          <w:rFonts w:ascii="Arial" w:hAnsi="Arial" w:cs="Arial"/>
          <w:sz w:val="20"/>
          <w:szCs w:val="20"/>
        </w:rPr>
        <w:t xml:space="preserve"> </w:t>
      </w:r>
    </w:p>
    <w:p w14:paraId="60E78AAB" w14:textId="6B63BA4F"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Náklady na práci, materiál, cestovní náklady, náklady na ubytování, náklady na přepravu vadného zboží k opravě a zpět, pojištění, prodávajícího nebo jím pověřené osoby, veškeré další náklady, které prodávajícímu vzniknou v souvislosti s odstraňováním vad v záruční době, nese v plné výši prodávající</w:t>
      </w:r>
      <w:r w:rsidR="00F372F0" w:rsidRPr="00F24672">
        <w:rPr>
          <w:rFonts w:ascii="Arial" w:hAnsi="Arial" w:cs="Arial"/>
          <w:sz w:val="20"/>
          <w:szCs w:val="20"/>
        </w:rPr>
        <w:t>.</w:t>
      </w:r>
    </w:p>
    <w:p w14:paraId="354B38E0" w14:textId="0142128C" w:rsidR="00907F8A"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Jestliže nezačne prodávající odstraňovat reklamované vady ve lhůtách dle dohody, může kupující v zájmu bezpečnosti a zachování plynulého provozního chodu zajistit odstranění vady jakýmkoli jiným způsobem dle svého výběru, a to na náklady prodávajícího. Takový postup přitom není důvodem ke ztrátě záruky a rovněž nezaniká právo kupujícího na uplatnění sankcí nebo v krajním případě odstoupení od uzavřené dílčí objednávky nebo dohody.</w:t>
      </w:r>
    </w:p>
    <w:p w14:paraId="260A2D21" w14:textId="7CC421AE" w:rsidR="00C758E9"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se rovněž zavazuje zajistit dostupnost náhradních díl</w:t>
      </w:r>
      <w:r w:rsidR="004E0094">
        <w:rPr>
          <w:rFonts w:ascii="Arial" w:hAnsi="Arial" w:cs="Arial"/>
          <w:sz w:val="20"/>
          <w:szCs w:val="20"/>
        </w:rPr>
        <w:t>ů</w:t>
      </w:r>
      <w:r w:rsidRPr="00F24672">
        <w:rPr>
          <w:rFonts w:ascii="Arial" w:hAnsi="Arial" w:cs="Arial"/>
          <w:sz w:val="20"/>
          <w:szCs w:val="20"/>
        </w:rPr>
        <w:t xml:space="preserve"> a pozáruční servis po dobu minimálně 24 měsíců od chvíle uplynutí záruky dle odst. </w:t>
      </w:r>
      <w:r w:rsidR="008265FF" w:rsidRPr="00F24672">
        <w:rPr>
          <w:rFonts w:ascii="Arial" w:hAnsi="Arial" w:cs="Arial"/>
          <w:sz w:val="20"/>
          <w:szCs w:val="20"/>
        </w:rPr>
        <w:t>4.</w:t>
      </w:r>
      <w:r w:rsidRPr="00F24672">
        <w:rPr>
          <w:rFonts w:ascii="Arial" w:hAnsi="Arial" w:cs="Arial"/>
          <w:sz w:val="20"/>
          <w:szCs w:val="20"/>
        </w:rPr>
        <w:t>1</w:t>
      </w:r>
      <w:r w:rsidR="008265FF" w:rsidRPr="00F24672">
        <w:rPr>
          <w:rFonts w:ascii="Arial" w:hAnsi="Arial" w:cs="Arial"/>
          <w:sz w:val="20"/>
          <w:szCs w:val="20"/>
        </w:rPr>
        <w:t>.</w:t>
      </w:r>
      <w:r w:rsidRPr="00F24672">
        <w:rPr>
          <w:rFonts w:ascii="Arial" w:hAnsi="Arial" w:cs="Arial"/>
          <w:sz w:val="20"/>
          <w:szCs w:val="20"/>
        </w:rPr>
        <w:t xml:space="preserve"> tohoto článku.</w:t>
      </w:r>
    </w:p>
    <w:p w14:paraId="63E77906" w14:textId="66BF3ABA" w:rsidR="00C758E9"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Pokud nahlásí kupující potřebu pozáručního servisu</w:t>
      </w:r>
      <w:r w:rsidR="00CE7435">
        <w:rPr>
          <w:rFonts w:ascii="Arial" w:hAnsi="Arial" w:cs="Arial"/>
          <w:sz w:val="20"/>
          <w:szCs w:val="20"/>
        </w:rPr>
        <w:t>, tedy servisu na náklady kupujícího, které budou stanoveny prodávajícím s přihlédnutím k nákladům obvyklým,</w:t>
      </w:r>
      <w:r w:rsidRPr="00F24672">
        <w:rPr>
          <w:rFonts w:ascii="Arial" w:hAnsi="Arial" w:cs="Arial"/>
          <w:sz w:val="20"/>
          <w:szCs w:val="20"/>
        </w:rPr>
        <w:t xml:space="preserve"> prodávajícímu v době až 24 měsíců po uplynutí záruční doby, je prodávající povinen postupovat obdobně podle odst. </w:t>
      </w:r>
      <w:r w:rsidR="008265FF" w:rsidRPr="00F24672">
        <w:rPr>
          <w:rFonts w:ascii="Arial" w:hAnsi="Arial" w:cs="Arial"/>
          <w:sz w:val="20"/>
          <w:szCs w:val="20"/>
        </w:rPr>
        <w:t>4.</w:t>
      </w:r>
      <w:r w:rsidRPr="00F24672">
        <w:rPr>
          <w:rFonts w:ascii="Arial" w:hAnsi="Arial" w:cs="Arial"/>
          <w:sz w:val="20"/>
          <w:szCs w:val="20"/>
        </w:rPr>
        <w:t>3</w:t>
      </w:r>
      <w:r w:rsidR="00CE7435">
        <w:rPr>
          <w:rFonts w:ascii="Arial" w:hAnsi="Arial" w:cs="Arial"/>
          <w:sz w:val="20"/>
          <w:szCs w:val="20"/>
        </w:rPr>
        <w:t xml:space="preserve">. </w:t>
      </w:r>
      <w:r w:rsidRPr="00F24672">
        <w:rPr>
          <w:rFonts w:ascii="Arial" w:hAnsi="Arial" w:cs="Arial"/>
          <w:sz w:val="20"/>
          <w:szCs w:val="20"/>
        </w:rPr>
        <w:t xml:space="preserve">tohoto článku s tím, že prodávající zareaguje ve lhůtě do </w:t>
      </w:r>
      <w:r w:rsidR="00CE7435">
        <w:rPr>
          <w:rFonts w:ascii="Arial" w:hAnsi="Arial" w:cs="Arial"/>
          <w:sz w:val="20"/>
          <w:szCs w:val="20"/>
        </w:rPr>
        <w:t xml:space="preserve">5 </w:t>
      </w:r>
      <w:r w:rsidRPr="00F24672">
        <w:rPr>
          <w:rFonts w:ascii="Arial" w:hAnsi="Arial" w:cs="Arial"/>
          <w:sz w:val="20"/>
          <w:szCs w:val="20"/>
        </w:rPr>
        <w:t xml:space="preserve">pracovních dnů od nahlášení potřeby úkonu a nejpozději do </w:t>
      </w:r>
      <w:r w:rsidR="00CE7435">
        <w:rPr>
          <w:rFonts w:ascii="Arial" w:hAnsi="Arial" w:cs="Arial"/>
          <w:sz w:val="20"/>
          <w:szCs w:val="20"/>
        </w:rPr>
        <w:t xml:space="preserve">10 pracovních </w:t>
      </w:r>
      <w:r w:rsidRPr="00F24672">
        <w:rPr>
          <w:rFonts w:ascii="Arial" w:hAnsi="Arial" w:cs="Arial"/>
          <w:sz w:val="20"/>
          <w:szCs w:val="20"/>
        </w:rPr>
        <w:t>dnů bude potřebný úkon servisu dokončen.</w:t>
      </w:r>
    </w:p>
    <w:bookmarkEnd w:id="5"/>
    <w:p w14:paraId="5966B437" w14:textId="20C6ABC5" w:rsidR="00F372F0" w:rsidRPr="00F24672" w:rsidRDefault="00C758E9"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Doba trvání závazku, ukončení závazku</w:t>
      </w:r>
    </w:p>
    <w:p w14:paraId="2998CF47" w14:textId="77777777"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je uzavřena na dobu určitou, a to:</w:t>
      </w:r>
    </w:p>
    <w:p w14:paraId="21F90568" w14:textId="4D96C33E" w:rsidR="00F372F0"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Na dobu 12 měsíců ode dne nabytí účinnosti dohody, nebo</w:t>
      </w:r>
    </w:p>
    <w:p w14:paraId="377D3994" w14:textId="6362B43A" w:rsidR="00C758E9"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Dosažením součtu hodnot všech provedených dílčích objednávek </w:t>
      </w:r>
      <w:r w:rsidR="004E0094">
        <w:rPr>
          <w:rFonts w:ascii="Arial" w:hAnsi="Arial" w:cs="Arial"/>
          <w:sz w:val="20"/>
          <w:szCs w:val="20"/>
        </w:rPr>
        <w:t xml:space="preserve">ve </w:t>
      </w:r>
      <w:r w:rsidRPr="00F24672">
        <w:rPr>
          <w:rFonts w:ascii="Arial" w:hAnsi="Arial" w:cs="Arial"/>
          <w:sz w:val="20"/>
          <w:szCs w:val="20"/>
        </w:rPr>
        <w:t>výš</w:t>
      </w:r>
      <w:r w:rsidR="004E0094">
        <w:rPr>
          <w:rFonts w:ascii="Arial" w:hAnsi="Arial" w:cs="Arial"/>
          <w:sz w:val="20"/>
          <w:szCs w:val="20"/>
        </w:rPr>
        <w:t>i</w:t>
      </w:r>
      <w:r w:rsidRPr="00F24672">
        <w:rPr>
          <w:rFonts w:ascii="Arial" w:hAnsi="Arial" w:cs="Arial"/>
          <w:sz w:val="20"/>
          <w:szCs w:val="20"/>
        </w:rPr>
        <w:t xml:space="preserve"> </w:t>
      </w:r>
      <w:proofErr w:type="gramStart"/>
      <w:r w:rsidRPr="00F24672">
        <w:rPr>
          <w:rFonts w:ascii="Arial" w:hAnsi="Arial" w:cs="Arial"/>
          <w:sz w:val="20"/>
          <w:szCs w:val="20"/>
        </w:rPr>
        <w:t>1.</w:t>
      </w:r>
      <w:r w:rsidR="00CE7435">
        <w:rPr>
          <w:rFonts w:ascii="Arial" w:hAnsi="Arial" w:cs="Arial"/>
          <w:sz w:val="20"/>
          <w:szCs w:val="20"/>
        </w:rPr>
        <w:t>5</w:t>
      </w:r>
      <w:r w:rsidRPr="00F24672">
        <w:rPr>
          <w:rFonts w:ascii="Arial" w:hAnsi="Arial" w:cs="Arial"/>
          <w:sz w:val="20"/>
          <w:szCs w:val="20"/>
        </w:rPr>
        <w:t>00.000,-</w:t>
      </w:r>
      <w:proofErr w:type="gramEnd"/>
      <w:r w:rsidRPr="00F24672">
        <w:rPr>
          <w:rFonts w:ascii="Arial" w:hAnsi="Arial" w:cs="Arial"/>
          <w:sz w:val="20"/>
          <w:szCs w:val="20"/>
        </w:rPr>
        <w:t xml:space="preserve"> Kč bez DPH,</w:t>
      </w:r>
    </w:p>
    <w:p w14:paraId="15496912" w14:textId="54D645E7" w:rsidR="00C758E9" w:rsidRPr="00F24672" w:rsidRDefault="00C758E9" w:rsidP="00C758E9">
      <w:pPr>
        <w:pStyle w:val="Odstavecseseznamem"/>
        <w:tabs>
          <w:tab w:val="left" w:pos="709"/>
        </w:tabs>
        <w:spacing w:line="276" w:lineRule="auto"/>
        <w:ind w:left="1224"/>
        <w:contextualSpacing w:val="0"/>
        <w:jc w:val="both"/>
        <w:rPr>
          <w:rFonts w:ascii="Arial" w:hAnsi="Arial" w:cs="Arial"/>
          <w:sz w:val="20"/>
          <w:szCs w:val="20"/>
        </w:rPr>
      </w:pPr>
      <w:r w:rsidRPr="00F24672">
        <w:rPr>
          <w:rFonts w:ascii="Arial" w:hAnsi="Arial" w:cs="Arial"/>
          <w:sz w:val="20"/>
          <w:szCs w:val="20"/>
        </w:rPr>
        <w:t>podle toho, která z uvedených skutečností nastane dříve. Závazky vyplývající z čl.</w:t>
      </w:r>
      <w:r w:rsidR="00366037" w:rsidRPr="00F24672">
        <w:rPr>
          <w:rFonts w:ascii="Arial" w:hAnsi="Arial" w:cs="Arial"/>
          <w:sz w:val="20"/>
          <w:szCs w:val="20"/>
        </w:rPr>
        <w:t> 4.</w:t>
      </w:r>
      <w:r w:rsidRPr="00F24672">
        <w:rPr>
          <w:rFonts w:ascii="Arial" w:hAnsi="Arial" w:cs="Arial"/>
          <w:sz w:val="20"/>
          <w:szCs w:val="20"/>
        </w:rPr>
        <w:t> dohody se vztahují k jednotlivým dílčím objednávkám a trvají i po ukončení dohody</w:t>
      </w:r>
      <w:r w:rsidR="00366037" w:rsidRPr="00F24672">
        <w:rPr>
          <w:rFonts w:ascii="Arial" w:hAnsi="Arial" w:cs="Arial"/>
          <w:sz w:val="20"/>
          <w:szCs w:val="20"/>
        </w:rPr>
        <w:t>.</w:t>
      </w:r>
    </w:p>
    <w:p w14:paraId="1216ABE9" w14:textId="6E17DBAE" w:rsidR="007A3D83"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též možno učinit dohodou smluvních stran.</w:t>
      </w:r>
    </w:p>
    <w:p w14:paraId="71B5B56C" w14:textId="5CA913C6" w:rsidR="00D60E01" w:rsidRPr="00F24672" w:rsidRDefault="00C758E9" w:rsidP="00D60E0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dále možné i výpovědí učiněnou kteroukoli ze stran straně druhé. Výpovědní doba činí 3 měsíce od dne doručení oznámení výpovědi druhé smluvní straně. Výpověď je možno odeslat elektronicky emailem.</w:t>
      </w:r>
      <w:r w:rsidR="00D60E01" w:rsidRPr="00F24672">
        <w:rPr>
          <w:rFonts w:ascii="Arial" w:hAnsi="Arial" w:cs="Arial"/>
          <w:sz w:val="20"/>
          <w:szCs w:val="20"/>
        </w:rPr>
        <w:t xml:space="preserve"> </w:t>
      </w:r>
    </w:p>
    <w:p w14:paraId="6609DA5C" w14:textId="5564AF83" w:rsidR="00F372F0" w:rsidRPr="00F24672" w:rsidRDefault="00F372F0"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Sankce a </w:t>
      </w:r>
      <w:r w:rsidR="00C758E9" w:rsidRPr="00F24672">
        <w:rPr>
          <w:rFonts w:ascii="Arial" w:hAnsi="Arial" w:cs="Arial"/>
          <w:b/>
          <w:sz w:val="20"/>
          <w:szCs w:val="20"/>
        </w:rPr>
        <w:t>odstoupení od rámcové dohody</w:t>
      </w:r>
    </w:p>
    <w:p w14:paraId="230AF40F" w14:textId="14BE610B" w:rsidR="00F372F0"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 xml:space="preserve">Nedodrží-li prodávající lhůty k dodání zboží dle čl. </w:t>
      </w:r>
      <w:r w:rsidR="00366037" w:rsidRPr="00F24672">
        <w:rPr>
          <w:rFonts w:ascii="Arial" w:eastAsia="Times New Roman" w:hAnsi="Arial" w:cs="Arial"/>
          <w:sz w:val="20"/>
          <w:szCs w:val="20"/>
          <w:lang w:eastAsia="ar-SA"/>
        </w:rPr>
        <w:t>2.3.</w:t>
      </w:r>
      <w:r w:rsidRPr="00F24672">
        <w:rPr>
          <w:rFonts w:ascii="Arial" w:eastAsia="Times New Roman" w:hAnsi="Arial" w:cs="Arial"/>
          <w:sz w:val="20"/>
          <w:szCs w:val="20"/>
          <w:lang w:eastAsia="ar-SA"/>
        </w:rPr>
        <w:t>, je povinen uhradit kupujícímu smluvní pokutu ve výši 0,1 % z ceny zboží, s jehož dodáním je prodávající v prodlení, za každý započatý den prodlení až do výše částky celkové ceny příslušné dílčí objednávky.</w:t>
      </w:r>
      <w:r w:rsidR="00F372F0" w:rsidRPr="00F24672">
        <w:rPr>
          <w:rFonts w:ascii="Arial" w:eastAsia="Times New Roman" w:hAnsi="Arial" w:cs="Arial"/>
          <w:sz w:val="20"/>
          <w:szCs w:val="20"/>
          <w:lang w:eastAsia="ar-SA"/>
        </w:rPr>
        <w:t xml:space="preserve"> </w:t>
      </w:r>
    </w:p>
    <w:p w14:paraId="4FD1768B" w14:textId="706F48CB" w:rsidR="00F372F0" w:rsidRPr="00F24672" w:rsidRDefault="00F372F0"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V </w:t>
      </w:r>
      <w:r w:rsidR="00C758E9" w:rsidRPr="00F24672">
        <w:rPr>
          <w:rFonts w:ascii="Arial" w:eastAsia="Times New Roman" w:hAnsi="Arial" w:cs="Arial"/>
          <w:sz w:val="20"/>
          <w:szCs w:val="20"/>
          <w:lang w:eastAsia="ar-SA"/>
        </w:rPr>
        <w:t xml:space="preserve">případě, že prodávající neodstraní vady ve lhůtách dle čl. </w:t>
      </w:r>
      <w:r w:rsidR="00366037" w:rsidRPr="00F24672">
        <w:rPr>
          <w:rFonts w:ascii="Arial" w:eastAsia="Times New Roman" w:hAnsi="Arial" w:cs="Arial"/>
          <w:sz w:val="20"/>
          <w:szCs w:val="20"/>
          <w:lang w:eastAsia="ar-SA"/>
        </w:rPr>
        <w:t>4.3.</w:t>
      </w:r>
      <w:r w:rsidR="00C758E9" w:rsidRPr="00F24672">
        <w:rPr>
          <w:rFonts w:ascii="Arial" w:eastAsia="Times New Roman" w:hAnsi="Arial" w:cs="Arial"/>
          <w:sz w:val="20"/>
          <w:szCs w:val="20"/>
          <w:lang w:eastAsia="ar-SA"/>
        </w:rPr>
        <w:t xml:space="preserve"> dohody, zavazuje se zaplatit kupujícímu smluvní pokutu ve výši </w:t>
      </w:r>
      <w:r w:rsidR="00481E8B">
        <w:rPr>
          <w:rFonts w:ascii="Arial" w:eastAsia="Times New Roman" w:hAnsi="Arial" w:cs="Arial"/>
          <w:sz w:val="20"/>
          <w:szCs w:val="20"/>
          <w:lang w:eastAsia="ar-SA"/>
        </w:rPr>
        <w:t>5</w:t>
      </w:r>
      <w:r w:rsidR="00C758E9" w:rsidRPr="00F24672">
        <w:rPr>
          <w:rFonts w:ascii="Arial" w:eastAsia="Times New Roman" w:hAnsi="Arial" w:cs="Arial"/>
          <w:sz w:val="20"/>
          <w:szCs w:val="20"/>
          <w:lang w:eastAsia="ar-SA"/>
        </w:rPr>
        <w:t xml:space="preserve">00,- Kč za každý započatý den prodlení; pro účely tohoto odstavce platí, že prodávající je v prodlení, nenastoupí-li k odstraňování vad či neprovede odstranění vady ve lhůtě dle čl. </w:t>
      </w:r>
      <w:r w:rsidR="00366037" w:rsidRPr="00F24672">
        <w:rPr>
          <w:rFonts w:ascii="Arial" w:eastAsia="Times New Roman" w:hAnsi="Arial" w:cs="Arial"/>
          <w:sz w:val="20"/>
          <w:szCs w:val="20"/>
          <w:lang w:eastAsia="ar-SA"/>
        </w:rPr>
        <w:t>4.</w:t>
      </w:r>
      <w:r w:rsidR="00481E8B">
        <w:rPr>
          <w:rFonts w:ascii="Arial" w:eastAsia="Times New Roman" w:hAnsi="Arial" w:cs="Arial"/>
          <w:sz w:val="20"/>
          <w:szCs w:val="20"/>
          <w:lang w:eastAsia="ar-SA"/>
        </w:rPr>
        <w:t>3.</w:t>
      </w:r>
      <w:r w:rsidR="00366037" w:rsidRPr="00F24672">
        <w:rPr>
          <w:rFonts w:ascii="Arial" w:eastAsia="Times New Roman" w:hAnsi="Arial" w:cs="Arial"/>
          <w:sz w:val="20"/>
          <w:szCs w:val="20"/>
          <w:lang w:eastAsia="ar-SA"/>
        </w:rPr>
        <w:t xml:space="preserve"> </w:t>
      </w:r>
      <w:r w:rsidR="00C758E9" w:rsidRPr="00F24672">
        <w:rPr>
          <w:rFonts w:ascii="Arial" w:eastAsia="Times New Roman" w:hAnsi="Arial" w:cs="Arial"/>
          <w:sz w:val="20"/>
          <w:szCs w:val="20"/>
          <w:lang w:eastAsia="ar-SA"/>
        </w:rPr>
        <w:t>dohody.</w:t>
      </w:r>
    </w:p>
    <w:p w14:paraId="17BAF4FE" w14:textId="31D5BEAE"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Kupující</w:t>
      </w:r>
      <w:r w:rsidRPr="00F24672">
        <w:rPr>
          <w:rFonts w:ascii="Arial" w:eastAsia="Times New Roman" w:hAnsi="Arial" w:cs="Arial"/>
          <w:sz w:val="20"/>
          <w:szCs w:val="20"/>
        </w:rPr>
        <w:t xml:space="preserve"> </w:t>
      </w:r>
      <w:r w:rsidRPr="00F24672">
        <w:rPr>
          <w:rFonts w:ascii="Arial" w:hAnsi="Arial" w:cs="Arial"/>
          <w:sz w:val="20"/>
          <w:szCs w:val="20"/>
        </w:rPr>
        <w:t>může v případě prodlení prodávajícího s odstraněním vad v termínu dle čl.</w:t>
      </w:r>
      <w:r w:rsidR="00366037" w:rsidRPr="00F24672">
        <w:rPr>
          <w:rFonts w:ascii="Arial" w:hAnsi="Arial" w:cs="Arial"/>
          <w:sz w:val="20"/>
          <w:szCs w:val="20"/>
        </w:rPr>
        <w:t> 4.3.</w:t>
      </w:r>
      <w:r w:rsidRPr="00F24672">
        <w:rPr>
          <w:rFonts w:ascii="Arial" w:hAnsi="Arial" w:cs="Arial"/>
          <w:sz w:val="20"/>
          <w:szCs w:val="20"/>
        </w:rPr>
        <w:t xml:space="preserve"> zajistit odstranění vad prostřednictvím třetí osoby, přičemž prodávající je v takovém případě povinen uhradit vedle smluvní pokuty dle odst. </w:t>
      </w:r>
      <w:r w:rsidR="00366037" w:rsidRPr="00F24672">
        <w:rPr>
          <w:rFonts w:ascii="Arial" w:hAnsi="Arial" w:cs="Arial"/>
          <w:sz w:val="20"/>
          <w:szCs w:val="20"/>
        </w:rPr>
        <w:t>6.</w:t>
      </w:r>
      <w:r w:rsidR="004E4AEF">
        <w:rPr>
          <w:rFonts w:ascii="Arial" w:hAnsi="Arial" w:cs="Arial"/>
          <w:sz w:val="20"/>
          <w:szCs w:val="20"/>
        </w:rPr>
        <w:t>2</w:t>
      </w:r>
      <w:r w:rsidR="00366037" w:rsidRPr="00F24672">
        <w:rPr>
          <w:rFonts w:ascii="Arial" w:hAnsi="Arial" w:cs="Arial"/>
          <w:sz w:val="20"/>
          <w:szCs w:val="20"/>
        </w:rPr>
        <w:t>.</w:t>
      </w:r>
      <w:r w:rsidRPr="00F24672">
        <w:rPr>
          <w:rFonts w:ascii="Arial" w:hAnsi="Arial" w:cs="Arial"/>
          <w:sz w:val="20"/>
          <w:szCs w:val="20"/>
        </w:rPr>
        <w:t xml:space="preserve"> tohoto článku i náklady kupujícího na zajištění odstranění vad takovým způsobem. Nárok kupujícího na náhradu škody, která přesahuje smluvní pokutu, není tímto ustanovením dotčen.</w:t>
      </w:r>
    </w:p>
    <w:p w14:paraId="49B9180B" w14:textId="6ED19E5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 je oprávněn započíst závazek prodávajícího vzniklý z porušení dohody – smluvní pokutu přímo oproti vlastním nesplaceným závazkům vůči prodávajícímu.</w:t>
      </w:r>
    </w:p>
    <w:p w14:paraId="75B80293" w14:textId="2A46550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Nebude-li zboží řádně, včas a bez vad a nedodělků bránících jeho řádnému užívání dodáno ve lhůtě dle čl. </w:t>
      </w:r>
      <w:r w:rsidR="00366037" w:rsidRPr="00F24672">
        <w:rPr>
          <w:rFonts w:ascii="Arial" w:hAnsi="Arial" w:cs="Arial"/>
          <w:sz w:val="20"/>
          <w:szCs w:val="20"/>
        </w:rPr>
        <w:t>2.3.</w:t>
      </w:r>
      <w:r w:rsidRPr="00F24672">
        <w:rPr>
          <w:rFonts w:ascii="Arial" w:hAnsi="Arial" w:cs="Arial"/>
          <w:sz w:val="20"/>
          <w:szCs w:val="20"/>
        </w:rPr>
        <w:t xml:space="preserve"> dohody platí, že kupující může bez předchozí výzvy od příslušné dílčí objednávky odstoupit. Ostatní sankční nároky dle dohody tím zůstávají nedotčeny.</w:t>
      </w:r>
    </w:p>
    <w:p w14:paraId="7BA4B7D6" w14:textId="73C091E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Vznikne-li prodlení prodávajícího v dodání zboží dle dílčí objednávky dle čl. </w:t>
      </w:r>
      <w:r w:rsidR="00366037" w:rsidRPr="00F24672">
        <w:rPr>
          <w:rFonts w:ascii="Arial" w:hAnsi="Arial" w:cs="Arial"/>
          <w:sz w:val="20"/>
          <w:szCs w:val="20"/>
        </w:rPr>
        <w:t>2.3.</w:t>
      </w:r>
      <w:r w:rsidRPr="00F24672">
        <w:rPr>
          <w:rFonts w:ascii="Arial" w:hAnsi="Arial" w:cs="Arial"/>
          <w:sz w:val="20"/>
          <w:szCs w:val="20"/>
        </w:rPr>
        <w:t xml:space="preserve"> dohody delší než </w:t>
      </w:r>
      <w:r w:rsidR="005B4556">
        <w:rPr>
          <w:rFonts w:ascii="Arial" w:hAnsi="Arial" w:cs="Arial"/>
          <w:sz w:val="20"/>
          <w:szCs w:val="20"/>
        </w:rPr>
        <w:t>30</w:t>
      </w:r>
      <w:r w:rsidRPr="00F24672">
        <w:rPr>
          <w:rFonts w:ascii="Arial" w:hAnsi="Arial" w:cs="Arial"/>
          <w:sz w:val="20"/>
          <w:szCs w:val="20"/>
        </w:rPr>
        <w:t xml:space="preserve"> kalendářních dnů, je kupující oprávněn odstoupit od dohody i bez učinění předchozí výzvy prodávajícímu. Ostatní sankční nároky dle dohody tím zůstávají nedotčeny.</w:t>
      </w:r>
    </w:p>
    <w:p w14:paraId="3D1F66A6" w14:textId="4AD332AD"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Sankce určené procentní částkou se vypočítávají z ceny příslušné dílčí objednávky v Kč bez DPH.</w:t>
      </w:r>
    </w:p>
    <w:p w14:paraId="7A3B5A77" w14:textId="31886DB5" w:rsidR="00F372F0" w:rsidRPr="00F24672" w:rsidRDefault="00B10156" w:rsidP="00D60E0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Vyšší moc</w:t>
      </w:r>
    </w:p>
    <w:p w14:paraId="78C101A8" w14:textId="53003A51"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w:t>
      </w:r>
      <w:r w:rsidR="00B341E7">
        <w:rPr>
          <w:rFonts w:ascii="Arial" w:hAnsi="Arial" w:cs="Arial"/>
          <w:sz w:val="20"/>
          <w:szCs w:val="20"/>
        </w:rPr>
        <w:t>dohody</w:t>
      </w:r>
      <w:r w:rsidRPr="00F24672">
        <w:rPr>
          <w:rFonts w:ascii="Arial" w:hAnsi="Arial" w:cs="Arial"/>
          <w:sz w:val="20"/>
          <w:szCs w:val="20"/>
        </w:rPr>
        <w:t xml:space="preserve">, je neplnění </w:t>
      </w:r>
      <w:r w:rsidR="00B341E7">
        <w:rPr>
          <w:rFonts w:ascii="Arial" w:hAnsi="Arial" w:cs="Arial"/>
          <w:sz w:val="20"/>
          <w:szCs w:val="20"/>
        </w:rPr>
        <w:t xml:space="preserve">dohody </w:t>
      </w:r>
      <w:r w:rsidRPr="00F24672">
        <w:rPr>
          <w:rFonts w:ascii="Arial" w:hAnsi="Arial" w:cs="Arial"/>
          <w:sz w:val="20"/>
          <w:szCs w:val="20"/>
        </w:rPr>
        <w:t xml:space="preserve">ze strany prodávajícího prominuto a prodávající za ně nenese odpovědnost, pokud jsou splněny podmínky odst. </w:t>
      </w:r>
      <w:r w:rsidR="00366037" w:rsidRPr="00F24672">
        <w:rPr>
          <w:rFonts w:ascii="Arial" w:hAnsi="Arial" w:cs="Arial"/>
          <w:sz w:val="20"/>
          <w:szCs w:val="20"/>
        </w:rPr>
        <w:t>7.</w:t>
      </w:r>
      <w:r w:rsidRPr="00F24672">
        <w:rPr>
          <w:rFonts w:ascii="Arial" w:hAnsi="Arial" w:cs="Arial"/>
          <w:sz w:val="20"/>
          <w:szCs w:val="20"/>
        </w:rPr>
        <w:t>3.</w:t>
      </w:r>
      <w:r w:rsidR="00366037" w:rsidRPr="00F24672">
        <w:rPr>
          <w:rFonts w:ascii="Arial" w:hAnsi="Arial" w:cs="Arial"/>
          <w:sz w:val="20"/>
          <w:szCs w:val="20"/>
        </w:rPr>
        <w:t xml:space="preserve"> tohoto článku.</w:t>
      </w:r>
    </w:p>
    <w:p w14:paraId="1F697016" w14:textId="2AD3D47F"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408C8470" w14:textId="251D0378"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w:t>
      </w:r>
      <w:r w:rsidR="00B341E7">
        <w:rPr>
          <w:rFonts w:ascii="Arial" w:hAnsi="Arial" w:cs="Arial"/>
          <w:sz w:val="20"/>
          <w:szCs w:val="20"/>
        </w:rPr>
        <w:t>dohody</w:t>
      </w:r>
      <w:r w:rsidRPr="00F24672">
        <w:rPr>
          <w:rFonts w:ascii="Arial" w:hAnsi="Arial" w:cs="Arial"/>
          <w:sz w:val="20"/>
          <w:szCs w:val="20"/>
        </w:rPr>
        <w:t xml:space="preserve">, zejména na prodloužení lhůty pro dodání zboží o dobu působení vyšší moci a jejích následků. Smluvní strany jsou oprávněny odstoupit od </w:t>
      </w:r>
      <w:r w:rsidR="00B341E7">
        <w:rPr>
          <w:rFonts w:ascii="Arial" w:hAnsi="Arial" w:cs="Arial"/>
          <w:sz w:val="20"/>
          <w:szCs w:val="20"/>
        </w:rPr>
        <w:t>dohody</w:t>
      </w:r>
      <w:r w:rsidRPr="00F24672">
        <w:rPr>
          <w:rFonts w:ascii="Arial" w:hAnsi="Arial" w:cs="Arial"/>
          <w:sz w:val="20"/>
          <w:szCs w:val="20"/>
        </w:rPr>
        <w:t>, působila</w:t>
      </w:r>
      <w:r w:rsidRPr="00F24672">
        <w:rPr>
          <w:rFonts w:ascii="Arial" w:hAnsi="Arial" w:cs="Arial"/>
          <w:sz w:val="20"/>
          <w:szCs w:val="20"/>
        </w:rPr>
        <w:noBreakHyphen/>
        <w:t>li vyšší moc v úhrnu po dobu delší</w:t>
      </w:r>
      <w:r w:rsidR="004E0094">
        <w:rPr>
          <w:rFonts w:ascii="Arial" w:hAnsi="Arial" w:cs="Arial"/>
          <w:sz w:val="20"/>
          <w:szCs w:val="20"/>
        </w:rPr>
        <w:t xml:space="preserve"> něž</w:t>
      </w:r>
      <w:r w:rsidRPr="00F24672">
        <w:rPr>
          <w:rFonts w:ascii="Arial" w:hAnsi="Arial" w:cs="Arial"/>
          <w:sz w:val="20"/>
          <w:szCs w:val="20"/>
        </w:rPr>
        <w:t xml:space="preserve"> 30 dnů.</w:t>
      </w:r>
    </w:p>
    <w:p w14:paraId="638BC5E2" w14:textId="78B2FD2F" w:rsidR="00F372F0" w:rsidRPr="00F24672" w:rsidRDefault="00B10156"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Vyhrazená změna závazku</w:t>
      </w:r>
    </w:p>
    <w:p w14:paraId="04334BCB" w14:textId="69DB8F6A"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v průběhu účinnosti dohody dojde k ukončení dohody a to:</w:t>
      </w:r>
    </w:p>
    <w:p w14:paraId="4740B3A8" w14:textId="358571EC"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dohodou smluvních stran dle čl. </w:t>
      </w:r>
      <w:r w:rsidR="00366037" w:rsidRPr="00F24672">
        <w:rPr>
          <w:rFonts w:ascii="Arial" w:hAnsi="Arial" w:cs="Arial"/>
          <w:sz w:val="20"/>
          <w:szCs w:val="20"/>
        </w:rPr>
        <w:t>5.</w:t>
      </w:r>
      <w:r w:rsidRPr="00F24672">
        <w:rPr>
          <w:rFonts w:ascii="Arial" w:hAnsi="Arial" w:cs="Arial"/>
          <w:sz w:val="20"/>
          <w:szCs w:val="20"/>
        </w:rPr>
        <w:t xml:space="preserve"> dohody, nebo</w:t>
      </w:r>
    </w:p>
    <w:p w14:paraId="3A83B88D" w14:textId="7D5CA910"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výpovědí dohody prodávajícím dle čl. </w:t>
      </w:r>
      <w:r w:rsidR="00366037" w:rsidRPr="00F24672">
        <w:rPr>
          <w:rFonts w:ascii="Arial" w:hAnsi="Arial" w:cs="Arial"/>
          <w:sz w:val="20"/>
          <w:szCs w:val="20"/>
        </w:rPr>
        <w:t>5</w:t>
      </w:r>
      <w:r w:rsidR="00E865DF" w:rsidRPr="00F24672">
        <w:rPr>
          <w:rFonts w:ascii="Arial" w:hAnsi="Arial" w:cs="Arial"/>
          <w:sz w:val="20"/>
          <w:szCs w:val="20"/>
        </w:rPr>
        <w:t>.</w:t>
      </w:r>
      <w:r w:rsidRPr="00F24672">
        <w:rPr>
          <w:rFonts w:ascii="Arial" w:hAnsi="Arial" w:cs="Arial"/>
          <w:sz w:val="20"/>
          <w:szCs w:val="20"/>
        </w:rPr>
        <w:t xml:space="preserve"> dohody, nebo</w:t>
      </w:r>
    </w:p>
    <w:p w14:paraId="65A28561" w14:textId="56370536"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odstoupením od dohody ze strany kupujícího,</w:t>
      </w:r>
    </w:p>
    <w:p w14:paraId="3B3B6676" w14:textId="108CF1B1" w:rsidR="00B10156" w:rsidRPr="00F24672" w:rsidRDefault="00B10156" w:rsidP="00B10156">
      <w:pPr>
        <w:tabs>
          <w:tab w:val="left" w:pos="709"/>
        </w:tabs>
        <w:spacing w:line="276" w:lineRule="auto"/>
        <w:ind w:left="720"/>
        <w:jc w:val="both"/>
        <w:rPr>
          <w:rFonts w:ascii="Arial" w:hAnsi="Arial" w:cs="Arial"/>
          <w:sz w:val="20"/>
          <w:szCs w:val="20"/>
        </w:rPr>
      </w:pPr>
      <w:r w:rsidRPr="00F24672">
        <w:rPr>
          <w:rFonts w:ascii="Arial" w:hAnsi="Arial" w:cs="Arial"/>
          <w:sz w:val="20"/>
          <w:szCs w:val="20"/>
        </w:rPr>
        <w:t xml:space="preserve">je kupující oprávněn v souladu s ust. § 222 odst. 10 ZZVZ ve spojitosti se zadávacími podmínkami veřejné zakázky nahradit prodávajícího jiným dodavatelem, a to takovým, který se jako účastník </w:t>
      </w:r>
      <w:r w:rsidR="00505DE0">
        <w:rPr>
          <w:rFonts w:ascii="Arial" w:hAnsi="Arial" w:cs="Arial"/>
          <w:sz w:val="20"/>
          <w:szCs w:val="20"/>
        </w:rPr>
        <w:t xml:space="preserve">výběrového </w:t>
      </w:r>
      <w:r w:rsidRPr="00F24672">
        <w:rPr>
          <w:rFonts w:ascii="Arial" w:hAnsi="Arial" w:cs="Arial"/>
          <w:sz w:val="20"/>
          <w:szCs w:val="20"/>
        </w:rPr>
        <w:t>řízení na veřejnou zakázku umístil další v pořadí za prodávajícím.</w:t>
      </w:r>
    </w:p>
    <w:p w14:paraId="3EEF524F" w14:textId="0A20DCF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Nový prodávající je povinen prokázat před podpisem dohody splnění podmínek dle zadávacích podmínek veřejné zakázky, a to ve stejném rozsahu, jako tomu bylo u nahrazovaného (původního) prodávajícího.</w:t>
      </w:r>
    </w:p>
    <w:p w14:paraId="19039839" w14:textId="50313A03" w:rsidR="00A630E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Dohoda s novým prodávajícím bude uzavřena ve stejném obsahu a rozsahu povinností smluvních stran jako tato dohoda, respektive za stejných podmínek jako původní dohoda.</w:t>
      </w:r>
    </w:p>
    <w:p w14:paraId="31ED7101"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Změna prodávajícího dle tohoto článku je v souladu s ust. § 100 odst. 2 ve spojitosti s ust. § 222 odst. 10 ZZVZ nepodstatnou změnou závazku z veřejné zakázky.</w:t>
      </w:r>
    </w:p>
    <w:p w14:paraId="715448BE" w14:textId="2E7ACDDE" w:rsidR="00B10156" w:rsidRPr="00F24672" w:rsidRDefault="00B10156" w:rsidP="00B10156">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Závěrečná ustanovení</w:t>
      </w:r>
    </w:p>
    <w:p w14:paraId="49779B62" w14:textId="5037CF0D"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poskytnout si dostatečnou součinnost při plnění dohody, jakož i při vyhodnocování spokojenosti s jejím plněním.</w:t>
      </w:r>
    </w:p>
    <w:p w14:paraId="0C90C9E8" w14:textId="1CCE151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předávat si navzájem vždy aktuální, pravdivé a úplné informace nezbytně nutné k řádnému a včasnému plnění dohody.</w:t>
      </w:r>
    </w:p>
    <w:p w14:paraId="4745B53D" w14:textId="65571133"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Nevynutitelnost nebo neplatnost kteréhokoli článku, odstavce, pododstavce nebo ustanovení dohody neovlivní vynutitelnost nebo platnost ustanovení ostatních. V případě, že jakýkoli takovýto článek, odstavec, pododstavec nebo ustanovení by měl z jakéhokoli důvodu pozbýt platnosti (zejména z důvodu rozporu s aplikovatelnými zákony a ostatními právními předpisy), provedou smluvní strany konzultace a dohodnou se na právně přijatelném způsobu provedení záměrů obsažených v takové části dohody, jež pozbyla platnosti.</w:t>
      </w:r>
    </w:p>
    <w:p w14:paraId="58DFE50E"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se zavazuje řádně uchovávat originál dohody, včetně jejích případných dodatků a příloh, veškeré originály účetních dokladů minimálně po dobu deseti let od jejich vystavení a na případnou výzvu kupujícího mu bezplatně poskytnout prosté kopie. </w:t>
      </w:r>
    </w:p>
    <w:p w14:paraId="0B29BCB2" w14:textId="2CB82256"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360026AD" w14:textId="1C82D4D5"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je mu známa skutečnost, že sazba daně z přidané hodnoty bude stanovena v souladu s právními předpisy platnými v době podpisu dohody.</w:t>
      </w:r>
    </w:p>
    <w:p w14:paraId="6EF1D251" w14:textId="2773920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interpretačních různic smluvních stran vyplývajících z dohody se smluvní strany dohodly, že se bud</w:t>
      </w:r>
      <w:r w:rsidR="00264E7F">
        <w:rPr>
          <w:rFonts w:ascii="Arial" w:hAnsi="Arial" w:cs="Arial"/>
          <w:sz w:val="20"/>
          <w:szCs w:val="20"/>
        </w:rPr>
        <w:t>ou</w:t>
      </w:r>
      <w:r w:rsidRPr="00F24672">
        <w:rPr>
          <w:rFonts w:ascii="Arial" w:hAnsi="Arial" w:cs="Arial"/>
          <w:sz w:val="20"/>
          <w:szCs w:val="20"/>
        </w:rPr>
        <w:t xml:space="preserve"> při interpretaci dohody přednostně aplikovat zadávací podmínky veřejné </w:t>
      </w:r>
      <w:r w:rsidR="00E865DF" w:rsidRPr="00F24672">
        <w:rPr>
          <w:rFonts w:ascii="Arial" w:hAnsi="Arial" w:cs="Arial"/>
          <w:sz w:val="20"/>
          <w:szCs w:val="20"/>
        </w:rPr>
        <w:t>zakázky</w:t>
      </w:r>
      <w:r w:rsidRPr="00F24672">
        <w:rPr>
          <w:rFonts w:ascii="Arial" w:hAnsi="Arial" w:cs="Arial"/>
          <w:sz w:val="20"/>
          <w:szCs w:val="20"/>
        </w:rPr>
        <w:t>.</w:t>
      </w:r>
    </w:p>
    <w:p w14:paraId="72A695A9" w14:textId="651AD4A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mu je známa skutečnost, že není oprávněn podmínit tuto nabídku jakoukoliv protinabídkou, a to ani tehdy, vyžadovala-li by tak standardně nabízená licence imanentně pro instalaci nebo řádný provoz i spuštění software (např. tzv. EULA); prodávajícímu je známo, že k takovým ustanovení</w:t>
      </w:r>
      <w:r w:rsidR="004E0094">
        <w:rPr>
          <w:rFonts w:ascii="Arial" w:hAnsi="Arial" w:cs="Arial"/>
          <w:sz w:val="20"/>
          <w:szCs w:val="20"/>
        </w:rPr>
        <w:t>m</w:t>
      </w:r>
      <w:r w:rsidRPr="00F24672">
        <w:rPr>
          <w:rFonts w:ascii="Arial" w:hAnsi="Arial" w:cs="Arial"/>
          <w:sz w:val="20"/>
          <w:szCs w:val="20"/>
        </w:rPr>
        <w:t xml:space="preserve"> nebude kupující přihlížet a smluvní strany budou činit, jako by jich nebylo.</w:t>
      </w:r>
    </w:p>
    <w:p w14:paraId="5D1ECBB5" w14:textId="468E2ACE"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se řídí českým právem a ke sporům z ní vzniklým jsou místně, věcně a funkčně příslušné soudy České republiky.</w:t>
      </w:r>
    </w:p>
    <w:p w14:paraId="71C3FE9C" w14:textId="790DAC1C" w:rsidR="00EE33BE"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prohlašují, že jim je známa skutečnost, že tato dohoda nabývá platnosti podpisem obou smluvních stran a účinnosti dnem jejího zveřejnění v registru smluv dle ustanovení § 6 zákona č. 340/2015 Sb., o registru smluv, ve znění pozdějších předpisů, a že proti tomuto zveřejnění dohody se všemi údaji, které v ní jsou, nemají žádných námitek a ani jim není známo, že by se vyskytovaly překážky bránící jejímu zveřejnění v plném znění.</w:t>
      </w:r>
    </w:p>
    <w:p w14:paraId="7A84AE8A" w14:textId="35AC4CF3" w:rsidR="005A6FF5" w:rsidRPr="00EE33BE" w:rsidRDefault="00EE33BE" w:rsidP="00D0050C">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EE33BE">
        <w:rPr>
          <w:rFonts w:ascii="Arial" w:hAnsi="Arial" w:cs="Arial"/>
          <w:sz w:val="20"/>
          <w:szCs w:val="20"/>
        </w:rPr>
        <w:br w:type="column"/>
      </w:r>
      <w:r w:rsidR="005A6FF5" w:rsidRPr="00EE33BE">
        <w:rPr>
          <w:rFonts w:ascii="Arial" w:hAnsi="Arial" w:cs="Arial"/>
          <w:sz w:val="20"/>
          <w:szCs w:val="20"/>
        </w:rPr>
        <w:lastRenderedPageBreak/>
        <w:t>Obě smluvní strany prohlašují, že si dohodu před jejím podpisem přečetly, že byla uzavřena po projednání podle jejich pravé a svobodné a vážné vůle. Nedílnou součástí dohody jsou následující přílohy:</w:t>
      </w:r>
    </w:p>
    <w:p w14:paraId="4855BC20"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A – Technická specifikace </w:t>
      </w:r>
    </w:p>
    <w:p w14:paraId="1C1EFBCF"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BAEE20E"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B – Cenový rozpad </w:t>
      </w:r>
    </w:p>
    <w:p w14:paraId="2F231338"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FA526FA" w14:textId="77777777" w:rsidR="005A6FF5" w:rsidRPr="00F24672" w:rsidRDefault="005A6FF5" w:rsidP="005A6FF5">
      <w:pPr>
        <w:rPr>
          <w:rFonts w:ascii="Arial" w:hAnsi="Arial" w:cs="Arial"/>
          <w:color w:val="000000" w:themeColor="text1"/>
          <w:sz w:val="20"/>
          <w:szCs w:val="20"/>
        </w:rPr>
      </w:pPr>
    </w:p>
    <w:p w14:paraId="2DD54AA5" w14:textId="77777777" w:rsidR="005A6FF5" w:rsidRPr="00F24672" w:rsidRDefault="005A6FF5" w:rsidP="005A6FF5">
      <w:pPr>
        <w:ind w:firstLine="567"/>
        <w:rPr>
          <w:rFonts w:ascii="Arial" w:hAnsi="Arial" w:cs="Arial"/>
          <w:color w:val="000000" w:themeColor="text1"/>
          <w:sz w:val="20"/>
          <w:szCs w:val="20"/>
        </w:rPr>
      </w:pPr>
      <w:r w:rsidRPr="00F24672">
        <w:rPr>
          <w:rFonts w:ascii="Arial" w:hAnsi="Arial" w:cs="Arial"/>
          <w:color w:val="000000" w:themeColor="text1"/>
          <w:sz w:val="20"/>
          <w:szCs w:val="20"/>
        </w:rPr>
        <w:t>Autentičnost dohody potvrzují zástupci smluvních stran svými podpisy:</w:t>
      </w:r>
    </w:p>
    <w:tbl>
      <w:tblPr>
        <w:tblW w:w="9442" w:type="dxa"/>
        <w:tblInd w:w="592" w:type="dxa"/>
        <w:tblLayout w:type="fixed"/>
        <w:tblCellMar>
          <w:left w:w="70" w:type="dxa"/>
          <w:right w:w="70" w:type="dxa"/>
        </w:tblCellMar>
        <w:tblLook w:val="0000" w:firstRow="0" w:lastRow="0" w:firstColumn="0" w:lastColumn="0" w:noHBand="0" w:noVBand="0"/>
      </w:tblPr>
      <w:tblGrid>
        <w:gridCol w:w="4851"/>
        <w:gridCol w:w="4591"/>
      </w:tblGrid>
      <w:tr w:rsidR="005A6FF5" w:rsidRPr="00F24672" w14:paraId="63563A00" w14:textId="77777777" w:rsidTr="005F3CB0">
        <w:trPr>
          <w:trHeight w:val="246"/>
        </w:trPr>
        <w:tc>
          <w:tcPr>
            <w:tcW w:w="4851" w:type="dxa"/>
          </w:tcPr>
          <w:p w14:paraId="6A9D5F26" w14:textId="77777777" w:rsidR="005A6FF5" w:rsidRPr="00F24672" w:rsidRDefault="005A6FF5" w:rsidP="005F3CB0">
            <w:pPr>
              <w:pStyle w:val="SBSnormln"/>
              <w:spacing w:before="0" w:after="120"/>
              <w:rPr>
                <w:rFonts w:cs="Arial"/>
                <w:color w:val="000000" w:themeColor="text1"/>
                <w:sz w:val="20"/>
                <w:szCs w:val="20"/>
              </w:rPr>
            </w:pPr>
          </w:p>
          <w:p w14:paraId="32583263"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kupujícího:</w:t>
            </w:r>
          </w:p>
          <w:p w14:paraId="7C91C3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7F162B44" w14:textId="77777777" w:rsidR="005A6FF5" w:rsidRPr="00F24672" w:rsidRDefault="005A6FF5" w:rsidP="005F3CB0">
            <w:pPr>
              <w:pStyle w:val="SBSnormln"/>
              <w:spacing w:before="0" w:after="120"/>
              <w:rPr>
                <w:rFonts w:cs="Arial"/>
                <w:color w:val="000000" w:themeColor="text1"/>
                <w:sz w:val="20"/>
                <w:szCs w:val="20"/>
              </w:rPr>
            </w:pPr>
          </w:p>
          <w:p w14:paraId="1086DD8C"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prodávajícího:</w:t>
            </w:r>
          </w:p>
          <w:p w14:paraId="20EDF17E"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61DD3720" w14:textId="77777777" w:rsidTr="005F3CB0">
        <w:trPr>
          <w:trHeight w:val="332"/>
        </w:trPr>
        <w:tc>
          <w:tcPr>
            <w:tcW w:w="4851" w:type="dxa"/>
          </w:tcPr>
          <w:p w14:paraId="7DFBF9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46AFD077"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04B02568" w14:textId="77777777" w:rsidTr="005F3CB0">
        <w:trPr>
          <w:trHeight w:val="597"/>
        </w:trPr>
        <w:tc>
          <w:tcPr>
            <w:tcW w:w="4851" w:type="dxa"/>
          </w:tcPr>
          <w:p w14:paraId="7E98B4EA"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__________________________</w:t>
            </w:r>
          </w:p>
          <w:p w14:paraId="0F025189" w14:textId="1B617EE3" w:rsidR="005A6FF5" w:rsidRPr="00F24672" w:rsidRDefault="00B341E7" w:rsidP="005F3CB0">
            <w:pPr>
              <w:pStyle w:val="SBSnormln"/>
              <w:spacing w:before="0" w:after="120"/>
              <w:rPr>
                <w:rFonts w:cs="Arial"/>
                <w:color w:val="000000" w:themeColor="text1"/>
                <w:sz w:val="20"/>
                <w:szCs w:val="20"/>
              </w:rPr>
            </w:pPr>
            <w:r w:rsidRPr="00B341E7">
              <w:rPr>
                <w:rFonts w:cs="Arial"/>
                <w:color w:val="000000" w:themeColor="text1"/>
                <w:sz w:val="20"/>
                <w:szCs w:val="20"/>
                <w:highlight w:val="green"/>
              </w:rPr>
              <w:t>BUDE DOPLNĚNO PŘED PODPISEM</w:t>
            </w:r>
          </w:p>
        </w:tc>
        <w:tc>
          <w:tcPr>
            <w:tcW w:w="4591" w:type="dxa"/>
          </w:tcPr>
          <w:p w14:paraId="66FEBD26"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w:t>
            </w:r>
          </w:p>
          <w:p w14:paraId="55AB467A" w14:textId="77777777" w:rsidR="005A6FF5" w:rsidRPr="00F24672" w:rsidRDefault="005A6FF5" w:rsidP="005F3CB0">
            <w:pPr>
              <w:pStyle w:val="SBSnormln"/>
              <w:spacing w:before="0" w:after="120"/>
              <w:rPr>
                <w:rFonts w:cs="Arial"/>
                <w:color w:val="000000"/>
                <w:sz w:val="20"/>
                <w:szCs w:val="20"/>
              </w:rPr>
            </w:pPr>
            <w:r w:rsidRPr="00F24672">
              <w:rPr>
                <w:rFonts w:cs="Arial"/>
                <w:color w:val="000000"/>
                <w:sz w:val="20"/>
                <w:szCs w:val="20"/>
                <w:highlight w:val="yellow"/>
              </w:rPr>
              <w:t>DOPLNÍ ÚČASTNÍK</w:t>
            </w:r>
          </w:p>
          <w:p w14:paraId="26BB90D6"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sz w:val="20"/>
                <w:szCs w:val="20"/>
                <w:highlight w:val="yellow"/>
              </w:rPr>
              <w:t>DOPLNÍ ÚČASTNÍK</w:t>
            </w:r>
          </w:p>
        </w:tc>
      </w:tr>
    </w:tbl>
    <w:p w14:paraId="79A31012" w14:textId="77777777" w:rsidR="005A6FF5" w:rsidRDefault="005A6FF5" w:rsidP="005A6FF5">
      <w:pPr>
        <w:pStyle w:val="Odstavecseseznamem"/>
        <w:tabs>
          <w:tab w:val="left" w:pos="709"/>
        </w:tabs>
        <w:spacing w:line="276" w:lineRule="auto"/>
        <w:ind w:left="709"/>
        <w:contextualSpacing w:val="0"/>
        <w:jc w:val="both"/>
        <w:rPr>
          <w:rFonts w:ascii="Arial" w:hAnsi="Arial" w:cs="Arial"/>
        </w:rPr>
      </w:pPr>
    </w:p>
    <w:p w14:paraId="029541CB" w14:textId="77777777" w:rsidR="002D1DF6" w:rsidRDefault="002D1DF6" w:rsidP="00907F8A">
      <w:pPr>
        <w:spacing w:line="276" w:lineRule="auto"/>
      </w:pPr>
    </w:p>
    <w:sectPr w:rsidR="002D1DF6" w:rsidSect="00F372F0">
      <w:headerReference w:type="default" r:id="rId8"/>
      <w:footerReference w:type="default" r:id="rId9"/>
      <w:pgSz w:w="11906" w:h="16838"/>
      <w:pgMar w:top="993"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0C4D" w14:textId="77777777" w:rsidR="001D7965" w:rsidRDefault="001D7965">
      <w:pPr>
        <w:spacing w:before="0" w:after="0"/>
      </w:pPr>
      <w:r>
        <w:separator/>
      </w:r>
    </w:p>
  </w:endnote>
  <w:endnote w:type="continuationSeparator" w:id="0">
    <w:p w14:paraId="204F2D7C" w14:textId="77777777" w:rsidR="001D7965" w:rsidRDefault="001D79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7D9B" w14:textId="15303F2B" w:rsidR="002202E3" w:rsidRPr="005D39DE" w:rsidRDefault="00CD3CC3" w:rsidP="00B341E7">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FA6FC1">
      <w:rPr>
        <w:noProof/>
      </w:rPr>
      <w:t>9</w:t>
    </w:r>
    <w:r w:rsidRPr="005D39DE">
      <w:fldChar w:fldCharType="end"/>
    </w:r>
    <w:r w:rsidRPr="005D39DE">
      <w:t xml:space="preserve"> z </w:t>
    </w:r>
    <w:fldSimple w:instr="NUMPAGES  \* Arabic  \* MERGEFORMAT">
      <w:r w:rsidR="00FA6FC1">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36DF" w14:textId="77777777" w:rsidR="001D7965" w:rsidRDefault="001D7965">
      <w:pPr>
        <w:spacing w:before="0" w:after="0"/>
      </w:pPr>
      <w:r>
        <w:separator/>
      </w:r>
    </w:p>
  </w:footnote>
  <w:footnote w:type="continuationSeparator" w:id="0">
    <w:p w14:paraId="1AA27D14" w14:textId="77777777" w:rsidR="001D7965" w:rsidRDefault="001D79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D84" w14:textId="4549B620" w:rsidR="007A3D83" w:rsidRPr="00BD7D39" w:rsidRDefault="00E07E68" w:rsidP="007A3D83">
    <w:pPr>
      <w:pStyle w:val="Zhlav"/>
    </w:pPr>
    <w:r>
      <w:rPr>
        <w:noProof/>
      </w:rPr>
      <w:drawing>
        <wp:anchor distT="0" distB="0" distL="114300" distR="114300" simplePos="0" relativeHeight="251659264" behindDoc="0" locked="0" layoutInCell="1" allowOverlap="1" wp14:anchorId="080FDED9" wp14:editId="0861D521">
          <wp:simplePos x="0" y="0"/>
          <wp:positionH relativeFrom="margin">
            <wp:posOffset>177800</wp:posOffset>
          </wp:positionH>
          <wp:positionV relativeFrom="margin">
            <wp:posOffset>-671195</wp:posOffset>
          </wp:positionV>
          <wp:extent cx="1275715" cy="467360"/>
          <wp:effectExtent l="0" t="0" r="0" b="2540"/>
          <wp:wrapSquare wrapText="bothSides"/>
          <wp:docPr id="2"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5E650C0B" wp14:editId="47007822">
          <wp:simplePos x="0" y="0"/>
          <wp:positionH relativeFrom="margin">
            <wp:posOffset>3489960</wp:posOffset>
          </wp:positionH>
          <wp:positionV relativeFrom="margin">
            <wp:posOffset>-875030</wp:posOffset>
          </wp:positionV>
          <wp:extent cx="2572385" cy="690880"/>
          <wp:effectExtent l="0" t="0" r="5715" b="0"/>
          <wp:wrapSquare wrapText="bothSides"/>
          <wp:docPr id="655034933"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1D230A9F" w14:textId="539A270F" w:rsidR="002202E3" w:rsidRDefault="002202E3">
    <w:pPr>
      <w:pStyle w:val="Zhlav"/>
    </w:pPr>
  </w:p>
  <w:p w14:paraId="37712269" w14:textId="77777777" w:rsidR="00E07E68" w:rsidRDefault="00E07E68">
    <w:pPr>
      <w:pStyle w:val="Zhlav"/>
    </w:pPr>
  </w:p>
  <w:p w14:paraId="1EBD26EE" w14:textId="77777777" w:rsidR="00E07E68" w:rsidRDefault="00E07E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1A0"/>
    <w:multiLevelType w:val="hybridMultilevel"/>
    <w:tmpl w:val="93688CA6"/>
    <w:lvl w:ilvl="0" w:tplc="C34CC5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51347AE"/>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21004"/>
    <w:multiLevelType w:val="multilevel"/>
    <w:tmpl w:val="511048F8"/>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0D23A3"/>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A26972"/>
    <w:multiLevelType w:val="hybridMultilevel"/>
    <w:tmpl w:val="98A8E772"/>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B2F3F"/>
    <w:multiLevelType w:val="hybridMultilevel"/>
    <w:tmpl w:val="74626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402BBA"/>
    <w:multiLevelType w:val="hybridMultilevel"/>
    <w:tmpl w:val="6B6A4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95630A"/>
    <w:multiLevelType w:val="hybridMultilevel"/>
    <w:tmpl w:val="934A23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2B15E24"/>
    <w:multiLevelType w:val="hybridMultilevel"/>
    <w:tmpl w:val="705AC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3C7842"/>
    <w:multiLevelType w:val="hybridMultilevel"/>
    <w:tmpl w:val="0A3A9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6A2AB7"/>
    <w:multiLevelType w:val="hybridMultilevel"/>
    <w:tmpl w:val="30BAA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23431C"/>
    <w:multiLevelType w:val="hybridMultilevel"/>
    <w:tmpl w:val="078E4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F86BFD"/>
    <w:multiLevelType w:val="multilevel"/>
    <w:tmpl w:val="91A60F8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302602">
    <w:abstractNumId w:val="6"/>
  </w:num>
  <w:num w:numId="2" w16cid:durableId="1364476407">
    <w:abstractNumId w:val="9"/>
  </w:num>
  <w:num w:numId="3" w16cid:durableId="1280605458">
    <w:abstractNumId w:val="8"/>
  </w:num>
  <w:num w:numId="4" w16cid:durableId="1356153783">
    <w:abstractNumId w:val="5"/>
  </w:num>
  <w:num w:numId="5" w16cid:durableId="1297947966">
    <w:abstractNumId w:val="2"/>
  </w:num>
  <w:num w:numId="6" w16cid:durableId="460656599">
    <w:abstractNumId w:val="3"/>
  </w:num>
  <w:num w:numId="7" w16cid:durableId="1929340571">
    <w:abstractNumId w:val="14"/>
  </w:num>
  <w:num w:numId="8" w16cid:durableId="253440570">
    <w:abstractNumId w:val="1"/>
  </w:num>
  <w:num w:numId="9" w16cid:durableId="989750322">
    <w:abstractNumId w:val="13"/>
  </w:num>
  <w:num w:numId="10" w16cid:durableId="2105835296">
    <w:abstractNumId w:val="7"/>
  </w:num>
  <w:num w:numId="11" w16cid:durableId="23333322">
    <w:abstractNumId w:val="4"/>
  </w:num>
  <w:num w:numId="12" w16cid:durableId="916406482">
    <w:abstractNumId w:val="12"/>
  </w:num>
  <w:num w:numId="13" w16cid:durableId="1537428015">
    <w:abstractNumId w:val="11"/>
  </w:num>
  <w:num w:numId="14" w16cid:durableId="345445710">
    <w:abstractNumId w:val="10"/>
  </w:num>
  <w:num w:numId="15" w16cid:durableId="1056467879">
    <w:abstractNumId w:val="15"/>
  </w:num>
  <w:num w:numId="16" w16cid:durableId="5439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D0"/>
    <w:rsid w:val="00016F89"/>
    <w:rsid w:val="0002460F"/>
    <w:rsid w:val="000528E0"/>
    <w:rsid w:val="0005445B"/>
    <w:rsid w:val="000E3A26"/>
    <w:rsid w:val="00117215"/>
    <w:rsid w:val="0012756E"/>
    <w:rsid w:val="00131F69"/>
    <w:rsid w:val="0014093B"/>
    <w:rsid w:val="00145E34"/>
    <w:rsid w:val="00174D7F"/>
    <w:rsid w:val="001D7965"/>
    <w:rsid w:val="001E6A42"/>
    <w:rsid w:val="00212891"/>
    <w:rsid w:val="002202E3"/>
    <w:rsid w:val="00230E8D"/>
    <w:rsid w:val="00236358"/>
    <w:rsid w:val="00262283"/>
    <w:rsid w:val="00264E7F"/>
    <w:rsid w:val="00286C69"/>
    <w:rsid w:val="00293E3C"/>
    <w:rsid w:val="002A1489"/>
    <w:rsid w:val="002B3560"/>
    <w:rsid w:val="002D050D"/>
    <w:rsid w:val="002D1DF6"/>
    <w:rsid w:val="003065D7"/>
    <w:rsid w:val="003212B9"/>
    <w:rsid w:val="003353BA"/>
    <w:rsid w:val="00337A98"/>
    <w:rsid w:val="003525EB"/>
    <w:rsid w:val="00366037"/>
    <w:rsid w:val="00385D29"/>
    <w:rsid w:val="0039370B"/>
    <w:rsid w:val="00397B1E"/>
    <w:rsid w:val="003B2C6D"/>
    <w:rsid w:val="003B5931"/>
    <w:rsid w:val="003E4093"/>
    <w:rsid w:val="003F0CE1"/>
    <w:rsid w:val="00430DE0"/>
    <w:rsid w:val="00445D33"/>
    <w:rsid w:val="004709C3"/>
    <w:rsid w:val="00481E8B"/>
    <w:rsid w:val="004A0E10"/>
    <w:rsid w:val="004A5AFD"/>
    <w:rsid w:val="004C271E"/>
    <w:rsid w:val="004C7891"/>
    <w:rsid w:val="004D7B1F"/>
    <w:rsid w:val="004E0094"/>
    <w:rsid w:val="004E4AEF"/>
    <w:rsid w:val="00503DB1"/>
    <w:rsid w:val="00505DE0"/>
    <w:rsid w:val="00510134"/>
    <w:rsid w:val="00525100"/>
    <w:rsid w:val="0057609E"/>
    <w:rsid w:val="005942A3"/>
    <w:rsid w:val="005944C3"/>
    <w:rsid w:val="005A6FF5"/>
    <w:rsid w:val="005B4556"/>
    <w:rsid w:val="005D658B"/>
    <w:rsid w:val="00601537"/>
    <w:rsid w:val="0061259C"/>
    <w:rsid w:val="006352E1"/>
    <w:rsid w:val="006674CE"/>
    <w:rsid w:val="006B3643"/>
    <w:rsid w:val="006B59E8"/>
    <w:rsid w:val="006B5F89"/>
    <w:rsid w:val="006F080D"/>
    <w:rsid w:val="006F2D27"/>
    <w:rsid w:val="00713AED"/>
    <w:rsid w:val="007365CB"/>
    <w:rsid w:val="00743C31"/>
    <w:rsid w:val="00760AD2"/>
    <w:rsid w:val="00780F55"/>
    <w:rsid w:val="007A3D83"/>
    <w:rsid w:val="007B2EB2"/>
    <w:rsid w:val="007C1FEC"/>
    <w:rsid w:val="007C4EA2"/>
    <w:rsid w:val="007F11F7"/>
    <w:rsid w:val="0080428B"/>
    <w:rsid w:val="00815CB3"/>
    <w:rsid w:val="00817B11"/>
    <w:rsid w:val="008265FF"/>
    <w:rsid w:val="0086013A"/>
    <w:rsid w:val="00875EC7"/>
    <w:rsid w:val="008A3B63"/>
    <w:rsid w:val="008B582C"/>
    <w:rsid w:val="008C1F92"/>
    <w:rsid w:val="008E285D"/>
    <w:rsid w:val="008F2199"/>
    <w:rsid w:val="008F2537"/>
    <w:rsid w:val="00907F8A"/>
    <w:rsid w:val="00936FE3"/>
    <w:rsid w:val="00956F55"/>
    <w:rsid w:val="00991264"/>
    <w:rsid w:val="009B7B3F"/>
    <w:rsid w:val="009D78E2"/>
    <w:rsid w:val="009F5C74"/>
    <w:rsid w:val="009F7713"/>
    <w:rsid w:val="00A145B7"/>
    <w:rsid w:val="00A14D38"/>
    <w:rsid w:val="00A37F2F"/>
    <w:rsid w:val="00A630E6"/>
    <w:rsid w:val="00A7105B"/>
    <w:rsid w:val="00A84346"/>
    <w:rsid w:val="00A9319B"/>
    <w:rsid w:val="00AE3B9D"/>
    <w:rsid w:val="00B0294E"/>
    <w:rsid w:val="00B10156"/>
    <w:rsid w:val="00B13D6D"/>
    <w:rsid w:val="00B341E7"/>
    <w:rsid w:val="00B537F3"/>
    <w:rsid w:val="00C36585"/>
    <w:rsid w:val="00C36C7B"/>
    <w:rsid w:val="00C61C2A"/>
    <w:rsid w:val="00C70546"/>
    <w:rsid w:val="00C72FA1"/>
    <w:rsid w:val="00C758E9"/>
    <w:rsid w:val="00C834A8"/>
    <w:rsid w:val="00C94715"/>
    <w:rsid w:val="00CD3CC3"/>
    <w:rsid w:val="00CD6798"/>
    <w:rsid w:val="00CE7435"/>
    <w:rsid w:val="00D130A4"/>
    <w:rsid w:val="00D369CE"/>
    <w:rsid w:val="00D60E01"/>
    <w:rsid w:val="00D70E96"/>
    <w:rsid w:val="00D77EBB"/>
    <w:rsid w:val="00D935AB"/>
    <w:rsid w:val="00DE1127"/>
    <w:rsid w:val="00E07E68"/>
    <w:rsid w:val="00E11A66"/>
    <w:rsid w:val="00E73931"/>
    <w:rsid w:val="00E76BC4"/>
    <w:rsid w:val="00E865DF"/>
    <w:rsid w:val="00E86E83"/>
    <w:rsid w:val="00E97345"/>
    <w:rsid w:val="00EB6475"/>
    <w:rsid w:val="00EB7BD0"/>
    <w:rsid w:val="00EE1858"/>
    <w:rsid w:val="00EE33BE"/>
    <w:rsid w:val="00F15800"/>
    <w:rsid w:val="00F23370"/>
    <w:rsid w:val="00F24672"/>
    <w:rsid w:val="00F372F0"/>
    <w:rsid w:val="00F378F3"/>
    <w:rsid w:val="00F45F1A"/>
    <w:rsid w:val="00F57195"/>
    <w:rsid w:val="00F872A5"/>
    <w:rsid w:val="00F922DB"/>
    <w:rsid w:val="00F946C1"/>
    <w:rsid w:val="00FA6FC1"/>
    <w:rsid w:val="00FB364E"/>
    <w:rsid w:val="00FC15E2"/>
    <w:rsid w:val="00FC1900"/>
    <w:rsid w:val="00FF2E8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6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2F0"/>
    <w:pPr>
      <w:spacing w:before="120" w:after="120" w:line="240" w:lineRule="auto"/>
    </w:pPr>
    <w:rPr>
      <w14:ligatures w14:val="none"/>
    </w:rPr>
  </w:style>
  <w:style w:type="paragraph" w:styleId="Nadpis1">
    <w:name w:val="heading 1"/>
    <w:basedOn w:val="Normln"/>
    <w:next w:val="Normln"/>
    <w:link w:val="Nadpis1Char"/>
    <w:uiPriority w:val="9"/>
    <w:qFormat/>
    <w:rsid w:val="00EB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B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B7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B7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B7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B7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7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7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7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B7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B7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B7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7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7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7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7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7BD0"/>
    <w:rPr>
      <w:rFonts w:eastAsiaTheme="majorEastAsia" w:cstheme="majorBidi"/>
      <w:color w:val="272727" w:themeColor="text1" w:themeTint="D8"/>
    </w:rPr>
  </w:style>
  <w:style w:type="paragraph" w:styleId="Nzev">
    <w:name w:val="Title"/>
    <w:basedOn w:val="Normln"/>
    <w:next w:val="Normln"/>
    <w:link w:val="NzevChar"/>
    <w:uiPriority w:val="10"/>
    <w:qFormat/>
    <w:rsid w:val="00EB7B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7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7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7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7BD0"/>
    <w:pPr>
      <w:spacing w:before="160"/>
      <w:jc w:val="center"/>
    </w:pPr>
    <w:rPr>
      <w:i/>
      <w:iCs/>
      <w:color w:val="404040" w:themeColor="text1" w:themeTint="BF"/>
    </w:rPr>
  </w:style>
  <w:style w:type="character" w:customStyle="1" w:styleId="CittChar">
    <w:name w:val="Citát Char"/>
    <w:basedOn w:val="Standardnpsmoodstavce"/>
    <w:link w:val="Citt"/>
    <w:uiPriority w:val="29"/>
    <w:rsid w:val="00EB7BD0"/>
    <w:rPr>
      <w:i/>
      <w:iCs/>
      <w:color w:val="404040" w:themeColor="text1" w:themeTint="BF"/>
    </w:rPr>
  </w:style>
  <w:style w:type="paragraph" w:styleId="Odstavecseseznamem">
    <w:name w:val="List Paragraph"/>
    <w:aliases w:val="A-Odrážky1,Odstavec_muj,Nad,List Paragraph,Bullet Number,lp1,List Paragraph1,lp11,List Paragraph11,Bullet 1,Use Case List Paragraph,Odrazky,Bullet List,Puce,Heading2,Bullet for no #'s,Body Bullet,List bullet,List Paragraph 1,Ref"/>
    <w:basedOn w:val="Normln"/>
    <w:link w:val="OdstavecseseznamemChar"/>
    <w:uiPriority w:val="34"/>
    <w:qFormat/>
    <w:rsid w:val="00EB7BD0"/>
    <w:pPr>
      <w:ind w:left="720"/>
      <w:contextualSpacing/>
    </w:pPr>
  </w:style>
  <w:style w:type="character" w:styleId="Zdraznnintenzivn">
    <w:name w:val="Intense Emphasis"/>
    <w:basedOn w:val="Standardnpsmoodstavce"/>
    <w:uiPriority w:val="21"/>
    <w:qFormat/>
    <w:rsid w:val="00EB7BD0"/>
    <w:rPr>
      <w:i/>
      <w:iCs/>
      <w:color w:val="0F4761" w:themeColor="accent1" w:themeShade="BF"/>
    </w:rPr>
  </w:style>
  <w:style w:type="paragraph" w:styleId="Vrazncitt">
    <w:name w:val="Intense Quote"/>
    <w:basedOn w:val="Normln"/>
    <w:next w:val="Normln"/>
    <w:link w:val="VrazncittChar"/>
    <w:uiPriority w:val="30"/>
    <w:qFormat/>
    <w:rsid w:val="00EB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7BD0"/>
    <w:rPr>
      <w:i/>
      <w:iCs/>
      <w:color w:val="0F4761" w:themeColor="accent1" w:themeShade="BF"/>
    </w:rPr>
  </w:style>
  <w:style w:type="character" w:styleId="Odkazintenzivn">
    <w:name w:val="Intense Reference"/>
    <w:basedOn w:val="Standardnpsmoodstavce"/>
    <w:uiPriority w:val="32"/>
    <w:qFormat/>
    <w:rsid w:val="00EB7BD0"/>
    <w:rPr>
      <w:b/>
      <w:bCs/>
      <w:smallCaps/>
      <w:color w:val="0F4761" w:themeColor="accent1" w:themeShade="BF"/>
      <w:spacing w:val="5"/>
    </w:rPr>
  </w:style>
  <w:style w:type="table" w:styleId="Mkatabulky">
    <w:name w:val="Table Grid"/>
    <w:basedOn w:val="Normlntabulka"/>
    <w:uiPriority w:val="39"/>
    <w:rsid w:val="00F372F0"/>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372F0"/>
    <w:pPr>
      <w:tabs>
        <w:tab w:val="center" w:pos="4536"/>
        <w:tab w:val="right" w:pos="9072"/>
      </w:tabs>
      <w:spacing w:before="0" w:after="0"/>
    </w:pPr>
  </w:style>
  <w:style w:type="character" w:customStyle="1" w:styleId="ZpatChar">
    <w:name w:val="Zápatí Char"/>
    <w:basedOn w:val="Standardnpsmoodstavce"/>
    <w:link w:val="Zpat"/>
    <w:uiPriority w:val="99"/>
    <w:rsid w:val="00F372F0"/>
    <w:rPr>
      <w14:ligatures w14:val="none"/>
    </w:rPr>
  </w:style>
  <w:style w:type="character" w:styleId="Hypertextovodkaz">
    <w:name w:val="Hyperlink"/>
    <w:basedOn w:val="Standardnpsmoodstavce"/>
    <w:uiPriority w:val="99"/>
    <w:unhideWhenUsed/>
    <w:rsid w:val="00F372F0"/>
    <w:rPr>
      <w:color w:val="467886" w:themeColor="hyperlink"/>
      <w:u w:val="single"/>
    </w:rPr>
  </w:style>
  <w:style w:type="character" w:customStyle="1" w:styleId="OdstavecseseznamemChar">
    <w:name w:val="Odstavec se seznamem Char"/>
    <w:aliases w:val="A-Odrážky1 Char,Odstavec_muj Char,Nad Char,List Paragraph Char,Bullet Number Char,lp1 Char,List Paragraph1 Char,lp11 Char,List Paragraph11 Char,Bullet 1 Char,Use Case List Paragraph Char,Odrazky Char,Bullet List Char,Puce Char"/>
    <w:basedOn w:val="Standardnpsmoodstavce"/>
    <w:link w:val="Odstavecseseznamem"/>
    <w:uiPriority w:val="34"/>
    <w:qFormat/>
    <w:rsid w:val="00F372F0"/>
  </w:style>
  <w:style w:type="character" w:styleId="Odkaznakoment">
    <w:name w:val="annotation reference"/>
    <w:basedOn w:val="Standardnpsmoodstavce"/>
    <w:uiPriority w:val="99"/>
    <w:semiHidden/>
    <w:unhideWhenUsed/>
    <w:rsid w:val="00F372F0"/>
    <w:rPr>
      <w:sz w:val="16"/>
      <w:szCs w:val="16"/>
    </w:rPr>
  </w:style>
  <w:style w:type="paragraph" w:styleId="Zhlav">
    <w:name w:val="header"/>
    <w:basedOn w:val="Normln"/>
    <w:link w:val="ZhlavChar"/>
    <w:uiPriority w:val="99"/>
    <w:unhideWhenUsed/>
    <w:rsid w:val="00F372F0"/>
    <w:pPr>
      <w:tabs>
        <w:tab w:val="center" w:pos="4536"/>
        <w:tab w:val="right" w:pos="9072"/>
      </w:tabs>
      <w:spacing w:before="0" w:after="0"/>
    </w:pPr>
  </w:style>
  <w:style w:type="character" w:customStyle="1" w:styleId="ZhlavChar">
    <w:name w:val="Záhlaví Char"/>
    <w:basedOn w:val="Standardnpsmoodstavce"/>
    <w:link w:val="Zhlav"/>
    <w:uiPriority w:val="99"/>
    <w:rsid w:val="00F372F0"/>
    <w:rPr>
      <w14:ligatures w14:val="none"/>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14:ligatures w14:val="none"/>
    </w:rPr>
  </w:style>
  <w:style w:type="paragraph" w:styleId="Pedmtkomente">
    <w:name w:val="annotation subject"/>
    <w:basedOn w:val="Textkomente"/>
    <w:next w:val="Textkomente"/>
    <w:link w:val="PedmtkomenteChar"/>
    <w:uiPriority w:val="99"/>
    <w:semiHidden/>
    <w:unhideWhenUsed/>
    <w:rsid w:val="00B537F3"/>
    <w:rPr>
      <w:b/>
      <w:bCs/>
    </w:rPr>
  </w:style>
  <w:style w:type="character" w:customStyle="1" w:styleId="PedmtkomenteChar">
    <w:name w:val="Předmět komentáře Char"/>
    <w:basedOn w:val="TextkomenteChar"/>
    <w:link w:val="Pedmtkomente"/>
    <w:uiPriority w:val="99"/>
    <w:semiHidden/>
    <w:rsid w:val="00B537F3"/>
    <w:rPr>
      <w:b/>
      <w:bCs/>
      <w:sz w:val="20"/>
      <w:szCs w:val="20"/>
      <w14:ligatures w14:val="none"/>
    </w:rPr>
  </w:style>
  <w:style w:type="character" w:customStyle="1" w:styleId="Nevyeenzmnka1">
    <w:name w:val="Nevyřešená zmínka1"/>
    <w:basedOn w:val="Standardnpsmoodstavce"/>
    <w:uiPriority w:val="99"/>
    <w:semiHidden/>
    <w:unhideWhenUsed/>
    <w:rsid w:val="00C94715"/>
    <w:rPr>
      <w:color w:val="605E5C"/>
      <w:shd w:val="clear" w:color="auto" w:fill="E1DFDD"/>
    </w:rPr>
  </w:style>
  <w:style w:type="paragraph" w:styleId="Revize">
    <w:name w:val="Revision"/>
    <w:hidden/>
    <w:uiPriority w:val="99"/>
    <w:semiHidden/>
    <w:rsid w:val="00145E34"/>
    <w:pPr>
      <w:spacing w:after="0" w:line="240" w:lineRule="auto"/>
    </w:pPr>
    <w:rPr>
      <w14:ligatures w14:val="none"/>
    </w:rPr>
  </w:style>
  <w:style w:type="paragraph" w:styleId="Textbubliny">
    <w:name w:val="Balloon Text"/>
    <w:basedOn w:val="Normln"/>
    <w:link w:val="TextbublinyChar"/>
    <w:uiPriority w:val="99"/>
    <w:semiHidden/>
    <w:unhideWhenUsed/>
    <w:rsid w:val="00CD3CC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CC3"/>
    <w:rPr>
      <w:rFonts w:ascii="Segoe UI" w:hAnsi="Segoe UI" w:cs="Segoe UI"/>
      <w:sz w:val="18"/>
      <w:szCs w:val="18"/>
      <w14:ligatures w14:val="none"/>
    </w:rPr>
  </w:style>
  <w:style w:type="character" w:customStyle="1" w:styleId="datalabel">
    <w:name w:val="datalabel"/>
    <w:basedOn w:val="Standardnpsmoodstavce"/>
    <w:rsid w:val="00CD3CC3"/>
  </w:style>
  <w:style w:type="character" w:styleId="Nevyeenzmnka">
    <w:name w:val="Unresolved Mention"/>
    <w:basedOn w:val="Standardnpsmoodstavce"/>
    <w:uiPriority w:val="99"/>
    <w:semiHidden/>
    <w:unhideWhenUsed/>
    <w:rsid w:val="00174D7F"/>
    <w:rPr>
      <w:color w:val="605E5C"/>
      <w:shd w:val="clear" w:color="auto" w:fill="E1DFDD"/>
    </w:rPr>
  </w:style>
  <w:style w:type="paragraph" w:customStyle="1" w:styleId="SBSnormln">
    <w:name w:val="SBS normální"/>
    <w:basedOn w:val="Normln"/>
    <w:rsid w:val="005A6FF5"/>
    <w:pPr>
      <w:spacing w:after="0"/>
      <w:jc w:val="both"/>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2454">
      <w:bodyDiv w:val="1"/>
      <w:marLeft w:val="0"/>
      <w:marRight w:val="0"/>
      <w:marTop w:val="0"/>
      <w:marBottom w:val="0"/>
      <w:divBdr>
        <w:top w:val="none" w:sz="0" w:space="0" w:color="auto"/>
        <w:left w:val="none" w:sz="0" w:space="0" w:color="auto"/>
        <w:bottom w:val="none" w:sz="0" w:space="0" w:color="auto"/>
        <w:right w:val="none" w:sz="0" w:space="0" w:color="auto"/>
      </w:divBdr>
      <w:divsChild>
        <w:div w:id="197158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26907">
              <w:marLeft w:val="0"/>
              <w:marRight w:val="0"/>
              <w:marTop w:val="0"/>
              <w:marBottom w:val="0"/>
              <w:divBdr>
                <w:top w:val="none" w:sz="0" w:space="0" w:color="auto"/>
                <w:left w:val="none" w:sz="0" w:space="0" w:color="auto"/>
                <w:bottom w:val="none" w:sz="0" w:space="0" w:color="auto"/>
                <w:right w:val="none" w:sz="0" w:space="0" w:color="auto"/>
              </w:divBdr>
              <w:divsChild>
                <w:div w:id="1094594509">
                  <w:marLeft w:val="0"/>
                  <w:marRight w:val="0"/>
                  <w:marTop w:val="0"/>
                  <w:marBottom w:val="0"/>
                  <w:divBdr>
                    <w:top w:val="none" w:sz="0" w:space="0" w:color="auto"/>
                    <w:left w:val="none" w:sz="0" w:space="0" w:color="auto"/>
                    <w:bottom w:val="none" w:sz="0" w:space="0" w:color="auto"/>
                    <w:right w:val="none" w:sz="0" w:space="0" w:color="auto"/>
                  </w:divBdr>
                  <w:divsChild>
                    <w:div w:id="530538478">
                      <w:marLeft w:val="0"/>
                      <w:marRight w:val="0"/>
                      <w:marTop w:val="0"/>
                      <w:marBottom w:val="0"/>
                      <w:divBdr>
                        <w:top w:val="none" w:sz="0" w:space="0" w:color="auto"/>
                        <w:left w:val="none" w:sz="0" w:space="0" w:color="auto"/>
                        <w:bottom w:val="none" w:sz="0" w:space="0" w:color="auto"/>
                        <w:right w:val="none" w:sz="0" w:space="0" w:color="auto"/>
                      </w:divBdr>
                      <w:divsChild>
                        <w:div w:id="112746674">
                          <w:marLeft w:val="0"/>
                          <w:marRight w:val="0"/>
                          <w:marTop w:val="0"/>
                          <w:marBottom w:val="0"/>
                          <w:divBdr>
                            <w:top w:val="none" w:sz="0" w:space="0" w:color="auto"/>
                            <w:left w:val="none" w:sz="0" w:space="0" w:color="auto"/>
                            <w:bottom w:val="none" w:sz="0" w:space="0" w:color="auto"/>
                            <w:right w:val="none" w:sz="0" w:space="0" w:color="auto"/>
                          </w:divBdr>
                        </w:div>
                        <w:div w:id="1111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4192">
      <w:bodyDiv w:val="1"/>
      <w:marLeft w:val="0"/>
      <w:marRight w:val="0"/>
      <w:marTop w:val="0"/>
      <w:marBottom w:val="0"/>
      <w:divBdr>
        <w:top w:val="none" w:sz="0" w:space="0" w:color="auto"/>
        <w:left w:val="none" w:sz="0" w:space="0" w:color="auto"/>
        <w:bottom w:val="none" w:sz="0" w:space="0" w:color="auto"/>
        <w:right w:val="none" w:sz="0" w:space="0" w:color="auto"/>
      </w:divBdr>
      <w:divsChild>
        <w:div w:id="69469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55832">
              <w:marLeft w:val="0"/>
              <w:marRight w:val="0"/>
              <w:marTop w:val="0"/>
              <w:marBottom w:val="0"/>
              <w:divBdr>
                <w:top w:val="none" w:sz="0" w:space="0" w:color="auto"/>
                <w:left w:val="none" w:sz="0" w:space="0" w:color="auto"/>
                <w:bottom w:val="none" w:sz="0" w:space="0" w:color="auto"/>
                <w:right w:val="none" w:sz="0" w:space="0" w:color="auto"/>
              </w:divBdr>
              <w:divsChild>
                <w:div w:id="1436631554">
                  <w:marLeft w:val="0"/>
                  <w:marRight w:val="0"/>
                  <w:marTop w:val="0"/>
                  <w:marBottom w:val="0"/>
                  <w:divBdr>
                    <w:top w:val="none" w:sz="0" w:space="0" w:color="auto"/>
                    <w:left w:val="none" w:sz="0" w:space="0" w:color="auto"/>
                    <w:bottom w:val="none" w:sz="0" w:space="0" w:color="auto"/>
                    <w:right w:val="none" w:sz="0" w:space="0" w:color="auto"/>
                  </w:divBdr>
                  <w:divsChild>
                    <w:div w:id="604657302">
                      <w:marLeft w:val="0"/>
                      <w:marRight w:val="0"/>
                      <w:marTop w:val="0"/>
                      <w:marBottom w:val="0"/>
                      <w:divBdr>
                        <w:top w:val="none" w:sz="0" w:space="0" w:color="auto"/>
                        <w:left w:val="none" w:sz="0" w:space="0" w:color="auto"/>
                        <w:bottom w:val="none" w:sz="0" w:space="0" w:color="auto"/>
                        <w:right w:val="none" w:sz="0" w:space="0" w:color="auto"/>
                      </w:divBdr>
                      <w:divsChild>
                        <w:div w:id="812987938">
                          <w:marLeft w:val="0"/>
                          <w:marRight w:val="0"/>
                          <w:marTop w:val="0"/>
                          <w:marBottom w:val="0"/>
                          <w:divBdr>
                            <w:top w:val="none" w:sz="0" w:space="0" w:color="auto"/>
                            <w:left w:val="none" w:sz="0" w:space="0" w:color="auto"/>
                            <w:bottom w:val="none" w:sz="0" w:space="0" w:color="auto"/>
                            <w:right w:val="none" w:sz="0" w:space="0" w:color="auto"/>
                          </w:divBdr>
                        </w:div>
                        <w:div w:id="1230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23ED-9FE7-4753-8A28-7BA843A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2706</Words>
  <Characters>15970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2025-12-08T09:47:00Z</dcterms:created>
  <dcterms:modified xsi:type="dcterms:W3CDTF">2025-12-15T11:16:00Z</dcterms:modified>
</cp:coreProperties>
</file>