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 xml:space="preserve">u Krajského soudu v Brně, </w:t>
      </w:r>
      <w:proofErr w:type="spellStart"/>
      <w:r w:rsidR="00FB4365">
        <w:rPr>
          <w:rFonts w:ascii="Arial" w:hAnsi="Arial" w:cs="Arial"/>
        </w:rPr>
        <w:t>sp</w:t>
      </w:r>
      <w:proofErr w:type="spellEnd"/>
      <w:r w:rsidR="00FB4365">
        <w:rPr>
          <w:rFonts w:ascii="Arial" w:hAnsi="Arial" w:cs="Arial"/>
        </w:rPr>
        <w:t>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23E3B6D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E5041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E5041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59FE252B" w:rsidR="004A5AFD" w:rsidRPr="008F73B8" w:rsidRDefault="000B2927" w:rsidP="008F73B8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</w:t>
      </w:r>
      <w:r w:rsidR="00276EAF">
        <w:rPr>
          <w:rFonts w:ascii="Arial" w:hAnsi="Arial" w:cs="Arial"/>
          <w:b/>
          <w:bCs/>
        </w:rPr>
        <w:t>horní</w:t>
      </w:r>
      <w:r w:rsidR="00C70256" w:rsidRPr="00C70256">
        <w:rPr>
          <w:rFonts w:ascii="Arial" w:hAnsi="Arial" w:cs="Arial"/>
          <w:b/>
          <w:bCs/>
        </w:rPr>
        <w:t xml:space="preserve"> končetin</w:t>
      </w:r>
      <w:r w:rsidR="00B73F95">
        <w:rPr>
          <w:rFonts w:ascii="Arial" w:hAnsi="Arial" w:cs="Arial"/>
          <w:b/>
          <w:bCs/>
        </w:rPr>
        <w:t>y</w:t>
      </w:r>
      <w:r w:rsidR="00C70256" w:rsidRPr="00C70256">
        <w:rPr>
          <w:rFonts w:ascii="Arial" w:hAnsi="Arial" w:cs="Arial"/>
          <w:b/>
          <w:bCs/>
        </w:rPr>
        <w:t xml:space="preserve">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E84417">
        <w:rPr>
          <w:rFonts w:ascii="Arial" w:hAnsi="Arial" w:cs="Arial"/>
          <w:b/>
          <w:bCs/>
        </w:rPr>
        <w:t>č</w:t>
      </w:r>
      <w:r w:rsidR="00BE6020" w:rsidRPr="00BE6020">
        <w:rPr>
          <w:rFonts w:ascii="Arial" w:hAnsi="Arial" w:cs="Arial"/>
          <w:b/>
          <w:bCs/>
        </w:rPr>
        <w:t xml:space="preserve">ást </w:t>
      </w:r>
      <w:r w:rsidR="00A40F99">
        <w:rPr>
          <w:rFonts w:ascii="Arial" w:hAnsi="Arial" w:cs="Arial"/>
          <w:b/>
          <w:bCs/>
        </w:rPr>
        <w:t>2</w:t>
      </w:r>
      <w:r w:rsidR="00E84417">
        <w:rPr>
          <w:rFonts w:ascii="Arial" w:hAnsi="Arial" w:cs="Arial"/>
          <w:b/>
          <w:bCs/>
        </w:rPr>
        <w:t>:</w:t>
      </w:r>
      <w:r w:rsidR="008A0FA6">
        <w:rPr>
          <w:rFonts w:ascii="Arial" w:hAnsi="Arial" w:cs="Arial"/>
          <w:b/>
          <w:bCs/>
        </w:rPr>
        <w:t xml:space="preserve"> </w:t>
      </w:r>
      <w:r w:rsidR="008A0FA6" w:rsidRPr="008A0FA6">
        <w:rPr>
          <w:rFonts w:ascii="Arial" w:hAnsi="Arial" w:cs="Arial"/>
          <w:b/>
          <w:bCs/>
        </w:rPr>
        <w:t>Robotický systém pro rehabilitaci horní končetiny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</w:t>
      </w:r>
      <w:r w:rsidR="00210FE0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41F2067F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E5041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r w:rsidR="00B64174">
        <w:rPr>
          <w:rFonts w:ascii="Arial" w:hAnsi="Arial" w:cs="Arial"/>
        </w:rPr>
        <w:t xml:space="preserve">Přílohy č. 1 </w:t>
      </w:r>
      <w:r w:rsidR="00DB6260">
        <w:rPr>
          <w:rFonts w:ascii="Arial" w:hAnsi="Arial" w:cs="Arial"/>
        </w:rPr>
        <w:t>Smlouvy – Technické</w:t>
      </w:r>
      <w:r>
        <w:rPr>
          <w:rFonts w:ascii="Arial" w:hAnsi="Arial" w:cs="Arial"/>
        </w:rPr>
        <w:t xml:space="preserve"> specifikace (dále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echnická specifikace“):</w:t>
      </w:r>
      <w:bookmarkEnd w:id="1"/>
    </w:p>
    <w:p w14:paraId="7670C441" w14:textId="7CF44B07" w:rsidR="00743C31" w:rsidRPr="00EC513F" w:rsidRDefault="0094383C" w:rsidP="00EC513F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8A0FA6" w:rsidRPr="008A0FA6">
        <w:rPr>
          <w:rFonts w:ascii="Arial" w:hAnsi="Arial" w:cs="Arial"/>
          <w:bCs/>
        </w:rPr>
        <w:t xml:space="preserve">robotického systému pro rehabilitaci horní končetiny </w:t>
      </w:r>
      <w:r w:rsidR="00743C31" w:rsidRPr="00EC513F">
        <w:rPr>
          <w:rFonts w:ascii="Arial" w:hAnsi="Arial" w:cs="Arial"/>
        </w:rPr>
        <w:t>(dále jen jako „zboží“)</w:t>
      </w:r>
      <w:r w:rsidR="7059FFEB" w:rsidRPr="00EC513F">
        <w:rPr>
          <w:rFonts w:ascii="Arial" w:hAnsi="Arial" w:cs="Arial"/>
        </w:rPr>
        <w:t>;</w:t>
      </w: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7E237CB3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3D167C9E" w14:textId="77777777" w:rsidR="00906367" w:rsidRDefault="00906367" w:rsidP="0090636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784B555F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 xml:space="preserve">do konkrétní místnosti slouží Příloha č. 3 </w:t>
      </w:r>
      <w:r w:rsidR="005251C3">
        <w:rPr>
          <w:rFonts w:ascii="Arial" w:hAnsi="Arial" w:cs="Arial"/>
        </w:rPr>
        <w:t xml:space="preserve">Smlouvy </w:t>
      </w:r>
      <w:r w:rsidR="003212B9" w:rsidRPr="00FE5088">
        <w:rPr>
          <w:rFonts w:ascii="Arial" w:hAnsi="Arial" w:cs="Arial"/>
        </w:rPr>
        <w:t xml:space="preserve">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63928B5C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 xml:space="preserve">montáž </w:t>
      </w:r>
      <w:r w:rsidR="00E07E68" w:rsidRPr="004001E9">
        <w:rPr>
          <w:rFonts w:ascii="Arial" w:hAnsi="Arial" w:cs="Arial"/>
        </w:rPr>
        <w:t>zboží</w:t>
      </w:r>
      <w:bookmarkStart w:id="6" w:name="_Ref182141099"/>
      <w:bookmarkEnd w:id="4"/>
      <w:r w:rsidR="00E07E68" w:rsidRPr="004001E9">
        <w:rPr>
          <w:rFonts w:ascii="Arial" w:hAnsi="Arial" w:cs="Arial"/>
        </w:rPr>
        <w:t xml:space="preserve"> </w:t>
      </w:r>
      <w:r w:rsidR="00016F89" w:rsidRPr="004001E9">
        <w:rPr>
          <w:rFonts w:ascii="Arial" w:hAnsi="Arial" w:cs="Arial"/>
        </w:rPr>
        <w:t xml:space="preserve">do </w:t>
      </w:r>
      <w:r w:rsidR="002D1DF6" w:rsidRPr="004001E9">
        <w:rPr>
          <w:rFonts w:ascii="Arial" w:hAnsi="Arial" w:cs="Arial"/>
        </w:rPr>
        <w:t>9</w:t>
      </w:r>
      <w:r w:rsidRPr="004001E9">
        <w:rPr>
          <w:rFonts w:ascii="Arial" w:hAnsi="Arial" w:cs="Arial"/>
        </w:rPr>
        <w:t>0 kalendářních dnů od</w:t>
      </w:r>
      <w:r w:rsidR="002D1AF9" w:rsidRPr="004001E9">
        <w:rPr>
          <w:rFonts w:ascii="Arial" w:hAnsi="Arial" w:cs="Arial"/>
        </w:rPr>
        <w:t> </w:t>
      </w:r>
      <w:r w:rsidRPr="004001E9">
        <w:rPr>
          <w:rFonts w:ascii="Arial" w:hAnsi="Arial" w:cs="Arial"/>
        </w:rPr>
        <w:t xml:space="preserve">účinnosti </w:t>
      </w:r>
      <w:r w:rsidR="00DB6260" w:rsidRPr="004001E9">
        <w:rPr>
          <w:rFonts w:ascii="Arial" w:hAnsi="Arial" w:cs="Arial"/>
        </w:rPr>
        <w:t>S</w:t>
      </w:r>
      <w:r w:rsidRPr="004001E9">
        <w:rPr>
          <w:rFonts w:ascii="Arial" w:hAnsi="Arial" w:cs="Arial"/>
        </w:rPr>
        <w:t>mlouvy</w:t>
      </w:r>
      <w:bookmarkEnd w:id="5"/>
      <w:bookmarkEnd w:id="6"/>
      <w:r w:rsidR="00D935AB" w:rsidRPr="004001E9">
        <w:rPr>
          <w:rFonts w:ascii="Arial" w:hAnsi="Arial" w:cs="Arial"/>
        </w:rPr>
        <w:t xml:space="preserve"> a zároveň</w:t>
      </w:r>
      <w:r w:rsidR="00430DE0" w:rsidRPr="004001E9">
        <w:rPr>
          <w:rFonts w:ascii="Arial" w:hAnsi="Arial" w:cs="Arial"/>
        </w:rPr>
        <w:t xml:space="preserve"> ne dříve, než</w:t>
      </w:r>
      <w:r w:rsidR="00D935AB" w:rsidRPr="004001E9">
        <w:rPr>
          <w:rFonts w:ascii="Arial" w:hAnsi="Arial" w:cs="Arial"/>
        </w:rPr>
        <w:t xml:space="preserve"> </w:t>
      </w:r>
      <w:r w:rsidR="00430DE0" w:rsidRPr="004001E9">
        <w:rPr>
          <w:rFonts w:ascii="Arial" w:hAnsi="Arial" w:cs="Arial"/>
        </w:rPr>
        <w:t xml:space="preserve">provede </w:t>
      </w:r>
      <w:r w:rsidR="00DB6260" w:rsidRPr="004001E9">
        <w:rPr>
          <w:rFonts w:ascii="Arial" w:hAnsi="Arial" w:cs="Arial"/>
        </w:rPr>
        <w:t>K</w:t>
      </w:r>
      <w:r w:rsidR="00430DE0" w:rsidRPr="004001E9">
        <w:rPr>
          <w:rFonts w:ascii="Arial" w:hAnsi="Arial" w:cs="Arial"/>
        </w:rPr>
        <w:t>upující v</w:t>
      </w:r>
      <w:r w:rsidR="00D935AB" w:rsidRPr="004001E9">
        <w:rPr>
          <w:rFonts w:ascii="Arial" w:hAnsi="Arial" w:cs="Arial"/>
        </w:rPr>
        <w:t>ýzvu učiněnou alespoň 14</w:t>
      </w:r>
      <w:r w:rsidR="002D1AF9" w:rsidRPr="004001E9">
        <w:rPr>
          <w:rFonts w:ascii="Arial" w:hAnsi="Arial" w:cs="Arial"/>
        </w:rPr>
        <w:t> </w:t>
      </w:r>
      <w:r w:rsidR="00D935AB" w:rsidRPr="004001E9">
        <w:rPr>
          <w:rFonts w:ascii="Arial" w:hAnsi="Arial" w:cs="Arial"/>
        </w:rPr>
        <w:t xml:space="preserve">dní před možným datem převzetí zboží </w:t>
      </w:r>
      <w:r w:rsidR="00DB6260" w:rsidRPr="004001E9">
        <w:rPr>
          <w:rFonts w:ascii="Arial" w:hAnsi="Arial" w:cs="Arial"/>
        </w:rPr>
        <w:t>Ku</w:t>
      </w:r>
      <w:r w:rsidR="00D935AB" w:rsidRPr="004001E9">
        <w:rPr>
          <w:rFonts w:ascii="Arial" w:hAnsi="Arial" w:cs="Arial"/>
        </w:rPr>
        <w:t>pujícím s ohledem na probíhající stavbu v místě plnění.</w:t>
      </w:r>
      <w:r w:rsidR="00430DE0" w:rsidRPr="004001E9">
        <w:rPr>
          <w:rFonts w:ascii="Arial" w:hAnsi="Arial" w:cs="Arial"/>
        </w:rPr>
        <w:t xml:space="preserve"> Smluvní strany jsou povinny se alespoň 5 pracovních dnů</w:t>
      </w:r>
      <w:r w:rsidR="00C72FA1" w:rsidRPr="004001E9">
        <w:rPr>
          <w:rFonts w:ascii="Arial" w:hAnsi="Arial" w:cs="Arial"/>
        </w:rPr>
        <w:t xml:space="preserve"> předem dohodnout na konkrétním dni a čase předání zboží</w:t>
      </w:r>
      <w:r w:rsidR="00430DE0" w:rsidRPr="004001E9">
        <w:rPr>
          <w:rFonts w:ascii="Arial" w:hAnsi="Arial" w:cs="Arial"/>
        </w:rPr>
        <w:t>.</w:t>
      </w:r>
      <w:r w:rsidR="00D935AB" w:rsidRPr="004001E9">
        <w:rPr>
          <w:rFonts w:ascii="Arial" w:hAnsi="Arial" w:cs="Arial"/>
        </w:rPr>
        <w:t xml:space="preserve"> </w:t>
      </w:r>
      <w:r w:rsidR="00016F89" w:rsidRPr="004001E9">
        <w:rPr>
          <w:rFonts w:ascii="Arial" w:hAnsi="Arial" w:cs="Arial"/>
        </w:rPr>
        <w:t>Montáží se rozumí vybalení zboží a</w:t>
      </w:r>
      <w:r w:rsidR="00A51623" w:rsidRPr="004001E9">
        <w:rPr>
          <w:rFonts w:ascii="Arial" w:hAnsi="Arial" w:cs="Arial"/>
        </w:rPr>
        <w:t> </w:t>
      </w:r>
      <w:r w:rsidR="00016F89" w:rsidRPr="004001E9">
        <w:rPr>
          <w:rFonts w:ascii="Arial" w:hAnsi="Arial" w:cs="Arial"/>
        </w:rPr>
        <w:t xml:space="preserve">jeho montáž, resp. sestavení v místě plnění tak, aby mohlo být </w:t>
      </w:r>
      <w:r w:rsidR="00DB6260" w:rsidRPr="004001E9">
        <w:rPr>
          <w:rFonts w:ascii="Arial" w:hAnsi="Arial" w:cs="Arial"/>
        </w:rPr>
        <w:t>K</w:t>
      </w:r>
      <w:r w:rsidR="00016F89" w:rsidRPr="004001E9">
        <w:rPr>
          <w:rFonts w:ascii="Arial" w:hAnsi="Arial" w:cs="Arial"/>
        </w:rPr>
        <w:t>upujícím řádně</w:t>
      </w:r>
      <w:r w:rsidR="00016F89">
        <w:rPr>
          <w:rFonts w:ascii="Arial" w:hAnsi="Arial" w:cs="Arial"/>
        </w:rPr>
        <w:t xml:space="preserve">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79B815FA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E50414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59473072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E50414">
        <w:rPr>
          <w:rFonts w:ascii="Arial" w:hAnsi="Arial" w:cs="Arial"/>
        </w:rPr>
        <w:t>Pr</w:t>
      </w:r>
      <w:r w:rsidRPr="00016F89">
        <w:rPr>
          <w:rFonts w:ascii="Arial" w:hAnsi="Arial" w:cs="Arial"/>
        </w:rPr>
        <w:t>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3798641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B64174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6833A9AA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E5041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56EA51B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CFD3BCE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lastRenderedPageBreak/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E50414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E50414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233427">
        <w:rPr>
          <w:rFonts w:ascii="Arial" w:hAnsi="Arial" w:cs="Arial"/>
        </w:rPr>
        <w:t xml:space="preserve">zaslány </w:t>
      </w:r>
      <w:r w:rsidRPr="00EF5C98">
        <w:rPr>
          <w:rFonts w:ascii="Arial" w:hAnsi="Arial" w:cs="Arial"/>
          <w:highlight w:val="green"/>
        </w:rPr>
        <w:t>na adresu</w:t>
      </w:r>
      <w:r w:rsidR="50AD3A1E" w:rsidRPr="00EF5C98">
        <w:rPr>
          <w:rFonts w:ascii="Arial" w:hAnsi="Arial" w:cs="Arial"/>
          <w:highlight w:val="green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342E2465" w14:textId="77777777" w:rsidR="00906367" w:rsidRDefault="00906367" w:rsidP="0090636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5FD31A9E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E50414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6E514051" w:rsidR="00F372F0" w:rsidRPr="00D60E01" w:rsidRDefault="6F5A2DF3" w:rsidP="432C8AE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14BD918F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14BD918F">
        <w:rPr>
          <w:rFonts w:ascii="Arial" w:hAnsi="Arial" w:cs="Arial"/>
        </w:rPr>
        <w:t>Prodávající je povinen</w:t>
      </w:r>
      <w:r w:rsidR="0014093B" w:rsidRPr="14BD918F">
        <w:rPr>
          <w:rFonts w:ascii="Arial" w:hAnsi="Arial" w:cs="Arial"/>
        </w:rPr>
        <w:t xml:space="preserve"> </w:t>
      </w:r>
      <w:r w:rsidR="00F372F0" w:rsidRPr="14BD918F">
        <w:rPr>
          <w:rFonts w:ascii="Arial" w:hAnsi="Arial" w:cs="Arial"/>
        </w:rPr>
        <w:t xml:space="preserve">odstranit vadu po </w:t>
      </w:r>
      <w:r w:rsidR="008A3B63" w:rsidRPr="14BD918F">
        <w:rPr>
          <w:rFonts w:ascii="Arial" w:hAnsi="Arial" w:cs="Arial"/>
        </w:rPr>
        <w:t xml:space="preserve">jejím </w:t>
      </w:r>
      <w:r w:rsidR="00F372F0" w:rsidRPr="14BD918F">
        <w:rPr>
          <w:rFonts w:ascii="Arial" w:hAnsi="Arial" w:cs="Arial"/>
        </w:rPr>
        <w:t xml:space="preserve">nahlášení nejpozději do </w:t>
      </w:r>
      <w:r w:rsidR="00D60E01" w:rsidRPr="14BD918F">
        <w:rPr>
          <w:rFonts w:ascii="Arial" w:hAnsi="Arial" w:cs="Arial"/>
        </w:rPr>
        <w:t>15 dnů</w:t>
      </w:r>
      <w:r w:rsidR="00F372F0" w:rsidRPr="14BD918F">
        <w:rPr>
          <w:rFonts w:ascii="Arial" w:hAnsi="Arial" w:cs="Arial"/>
        </w:rPr>
        <w:t xml:space="preserve"> od okamžiku </w:t>
      </w:r>
      <w:r w:rsidR="008A3B63" w:rsidRPr="14BD918F">
        <w:rPr>
          <w:rFonts w:ascii="Arial" w:hAnsi="Arial" w:cs="Arial"/>
        </w:rPr>
        <w:t>nahlášení vady</w:t>
      </w:r>
      <w:r w:rsidR="00F372F0" w:rsidRPr="14BD918F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14BD918F">
        <w:rPr>
          <w:rFonts w:ascii="Arial" w:hAnsi="Arial" w:cs="Arial"/>
        </w:rPr>
        <w:t xml:space="preserve">Prodávajícího </w:t>
      </w:r>
      <w:r w:rsidR="00F372F0" w:rsidRPr="14BD918F">
        <w:rPr>
          <w:rFonts w:ascii="Arial" w:hAnsi="Arial" w:cs="Arial"/>
        </w:rPr>
        <w:t>úkony záruční</w:t>
      </w:r>
      <w:r w:rsidR="0014093B" w:rsidRPr="14BD918F">
        <w:rPr>
          <w:rFonts w:ascii="Arial" w:hAnsi="Arial" w:cs="Arial"/>
        </w:rPr>
        <w:t xml:space="preserve">ho servisu </w:t>
      </w:r>
      <w:r w:rsidR="00F372F0" w:rsidRPr="14BD918F">
        <w:rPr>
          <w:rFonts w:ascii="Arial" w:hAnsi="Arial" w:cs="Arial"/>
        </w:rPr>
        <w:t xml:space="preserve">(opravu) na místě. Neumožňuje-li to povaha </w:t>
      </w:r>
      <w:r w:rsidR="00EF5C98" w:rsidRPr="14BD918F">
        <w:rPr>
          <w:rFonts w:ascii="Arial" w:hAnsi="Arial" w:cs="Arial"/>
        </w:rPr>
        <w:t xml:space="preserve">vady </w:t>
      </w:r>
      <w:r w:rsidR="00F372F0" w:rsidRPr="14BD918F">
        <w:rPr>
          <w:rFonts w:ascii="Arial" w:hAnsi="Arial" w:cs="Arial"/>
        </w:rPr>
        <w:t xml:space="preserve">a je nutné zboží transportovat z místa dodání k záruční </w:t>
      </w:r>
      <w:r w:rsidR="00F372F0" w:rsidRPr="14BD918F">
        <w:rPr>
          <w:rFonts w:ascii="Arial" w:hAnsi="Arial" w:cs="Arial"/>
        </w:rPr>
        <w:lastRenderedPageBreak/>
        <w:t xml:space="preserve">opravě a zpět, provede nebo zajistí transport zboží na své náklady a odpovědnost </w:t>
      </w:r>
      <w:r w:rsidR="00EF5C98" w:rsidRPr="14BD918F">
        <w:rPr>
          <w:rFonts w:ascii="Arial" w:hAnsi="Arial" w:cs="Arial"/>
        </w:rPr>
        <w:t>P</w:t>
      </w:r>
      <w:r w:rsidR="00F372F0" w:rsidRPr="14BD918F">
        <w:rPr>
          <w:rFonts w:ascii="Arial" w:hAnsi="Arial" w:cs="Arial"/>
        </w:rPr>
        <w:t>rodávající</w:t>
      </w:r>
      <w:r w:rsidR="00D60E01" w:rsidRPr="14BD918F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54A97EC9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E5041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781E2ACE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</w:t>
      </w:r>
      <w:r w:rsidR="00EF5C98">
        <w:rPr>
          <w:rFonts w:ascii="Arial" w:hAnsi="Arial" w:cs="Arial"/>
        </w:rPr>
        <w:t>, ve znění pozdějších 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E5041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E50414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lastRenderedPageBreak/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5AA7F658" w14:textId="77777777" w:rsidR="00CC1C12" w:rsidRDefault="00CC1C12">
      <w:pPr>
        <w:spacing w:before="0"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0AF40F" w14:textId="6BF2BF76" w:rsidR="00F372F0" w:rsidRPr="00CC1C12" w:rsidRDefault="00F372F0" w:rsidP="00CC1C12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lastRenderedPageBreak/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23F88E0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5301B40F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E50414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67DD6D66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E50414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7C22E23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E5041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75C9F82C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E5041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78EF78D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</w:t>
      </w:r>
      <w:r w:rsidR="00E5041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mlouvě lze měnit jednostranným písemným oznámením zaslaným druhé smluvní straně.</w:t>
      </w:r>
    </w:p>
    <w:p w14:paraId="19039839" w14:textId="686C406E" w:rsidR="00A630E6" w:rsidRPr="00907F8A" w:rsidRDefault="00E50414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</w:t>
      </w:r>
      <w:r w:rsidRPr="000E3A26">
        <w:rPr>
          <w:rFonts w:ascii="Arial" w:hAnsi="Arial" w:cs="Arial"/>
        </w:rPr>
        <w:lastRenderedPageBreak/>
        <w:t>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6C44FB01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2D5E5318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B64174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28CF348A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Brně, dne </w:t>
            </w:r>
            <w:r w:rsidR="005C0D67">
              <w:rPr>
                <w:rFonts w:ascii="Arial" w:hAnsi="Arial" w:cs="Arial"/>
                <w:sz w:val="22"/>
                <w:szCs w:val="22"/>
              </w:rPr>
              <w:t xml:space="preserve">dle </w:t>
            </w:r>
            <w:r>
              <w:rPr>
                <w:rFonts w:ascii="Arial" w:hAnsi="Arial" w:cs="Arial"/>
                <w:sz w:val="22"/>
                <w:szCs w:val="22"/>
              </w:rPr>
              <w:t>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7463" w14:textId="77777777" w:rsidR="00E656BE" w:rsidRDefault="00E656BE">
      <w:pPr>
        <w:spacing w:before="0" w:after="0"/>
      </w:pPr>
      <w:r>
        <w:separator/>
      </w:r>
    </w:p>
  </w:endnote>
  <w:endnote w:type="continuationSeparator" w:id="0">
    <w:p w14:paraId="1630EDED" w14:textId="77777777" w:rsidR="00E656BE" w:rsidRDefault="00E656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C940" w14:textId="77777777" w:rsidR="00E656BE" w:rsidRDefault="00E656BE">
      <w:pPr>
        <w:spacing w:before="0" w:after="0"/>
      </w:pPr>
      <w:r>
        <w:separator/>
      </w:r>
    </w:p>
  </w:footnote>
  <w:footnote w:type="continuationSeparator" w:id="0">
    <w:p w14:paraId="1E81434E" w14:textId="77777777" w:rsidR="00E656BE" w:rsidRDefault="00E656BE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2916"/>
    <w:rsid w:val="00046667"/>
    <w:rsid w:val="00046A0A"/>
    <w:rsid w:val="000528E0"/>
    <w:rsid w:val="00084BD2"/>
    <w:rsid w:val="000B2927"/>
    <w:rsid w:val="000D00FA"/>
    <w:rsid w:val="000D5D75"/>
    <w:rsid w:val="000E3A26"/>
    <w:rsid w:val="00117215"/>
    <w:rsid w:val="0012756E"/>
    <w:rsid w:val="00131F69"/>
    <w:rsid w:val="0014093B"/>
    <w:rsid w:val="00145E34"/>
    <w:rsid w:val="00174D7F"/>
    <w:rsid w:val="00182954"/>
    <w:rsid w:val="001853E6"/>
    <w:rsid w:val="001923A1"/>
    <w:rsid w:val="001B7E56"/>
    <w:rsid w:val="001E6A42"/>
    <w:rsid w:val="001F1E1C"/>
    <w:rsid w:val="00210FE0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2D76A5"/>
    <w:rsid w:val="003065D7"/>
    <w:rsid w:val="003212B9"/>
    <w:rsid w:val="003353BA"/>
    <w:rsid w:val="00337A98"/>
    <w:rsid w:val="00342C13"/>
    <w:rsid w:val="003525EB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001E9"/>
    <w:rsid w:val="004115F4"/>
    <w:rsid w:val="00430DE0"/>
    <w:rsid w:val="00445D33"/>
    <w:rsid w:val="004709C3"/>
    <w:rsid w:val="004A3304"/>
    <w:rsid w:val="004A5AFD"/>
    <w:rsid w:val="004B1BB6"/>
    <w:rsid w:val="004B7D55"/>
    <w:rsid w:val="004C271E"/>
    <w:rsid w:val="004C77FF"/>
    <w:rsid w:val="004C7891"/>
    <w:rsid w:val="004D320C"/>
    <w:rsid w:val="004D7B1F"/>
    <w:rsid w:val="004E073E"/>
    <w:rsid w:val="00503DB1"/>
    <w:rsid w:val="00525100"/>
    <w:rsid w:val="005251C3"/>
    <w:rsid w:val="0053562E"/>
    <w:rsid w:val="005358A4"/>
    <w:rsid w:val="005636C7"/>
    <w:rsid w:val="0057609E"/>
    <w:rsid w:val="005942A3"/>
    <w:rsid w:val="005944C3"/>
    <w:rsid w:val="0059689F"/>
    <w:rsid w:val="00597D5C"/>
    <w:rsid w:val="005C0D67"/>
    <w:rsid w:val="00601537"/>
    <w:rsid w:val="006122A9"/>
    <w:rsid w:val="0061259C"/>
    <w:rsid w:val="006352E1"/>
    <w:rsid w:val="006370DD"/>
    <w:rsid w:val="00665F55"/>
    <w:rsid w:val="0067185B"/>
    <w:rsid w:val="006B3643"/>
    <w:rsid w:val="006B59E8"/>
    <w:rsid w:val="006C072F"/>
    <w:rsid w:val="006F080D"/>
    <w:rsid w:val="006F2D27"/>
    <w:rsid w:val="00706530"/>
    <w:rsid w:val="00713AED"/>
    <w:rsid w:val="00714D91"/>
    <w:rsid w:val="00714E62"/>
    <w:rsid w:val="007365CB"/>
    <w:rsid w:val="00742CAE"/>
    <w:rsid w:val="00743C31"/>
    <w:rsid w:val="00746955"/>
    <w:rsid w:val="00754FEF"/>
    <w:rsid w:val="00755929"/>
    <w:rsid w:val="00757D4C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F11F7"/>
    <w:rsid w:val="008015EC"/>
    <w:rsid w:val="0080428B"/>
    <w:rsid w:val="00815CB3"/>
    <w:rsid w:val="00817777"/>
    <w:rsid w:val="00817B11"/>
    <w:rsid w:val="00840999"/>
    <w:rsid w:val="0086013A"/>
    <w:rsid w:val="00875EC7"/>
    <w:rsid w:val="008771BB"/>
    <w:rsid w:val="00895564"/>
    <w:rsid w:val="008A0FA6"/>
    <w:rsid w:val="008A3B63"/>
    <w:rsid w:val="008B582C"/>
    <w:rsid w:val="008C04A7"/>
    <w:rsid w:val="008C1DDA"/>
    <w:rsid w:val="008C1F92"/>
    <w:rsid w:val="008D016F"/>
    <w:rsid w:val="008D6C58"/>
    <w:rsid w:val="008E285D"/>
    <w:rsid w:val="008F2199"/>
    <w:rsid w:val="008F73B8"/>
    <w:rsid w:val="009020C2"/>
    <w:rsid w:val="00906367"/>
    <w:rsid w:val="00907F8A"/>
    <w:rsid w:val="00936FE3"/>
    <w:rsid w:val="0094383C"/>
    <w:rsid w:val="00947965"/>
    <w:rsid w:val="00951C36"/>
    <w:rsid w:val="00956F55"/>
    <w:rsid w:val="009717C2"/>
    <w:rsid w:val="00971859"/>
    <w:rsid w:val="009A48CB"/>
    <w:rsid w:val="009B7B3F"/>
    <w:rsid w:val="009D78E2"/>
    <w:rsid w:val="00A145B7"/>
    <w:rsid w:val="00A37F2F"/>
    <w:rsid w:val="00A40F99"/>
    <w:rsid w:val="00A51623"/>
    <w:rsid w:val="00A630E6"/>
    <w:rsid w:val="00A7105B"/>
    <w:rsid w:val="00A72DF5"/>
    <w:rsid w:val="00A84346"/>
    <w:rsid w:val="00AA694A"/>
    <w:rsid w:val="00AB0B3B"/>
    <w:rsid w:val="00AD760D"/>
    <w:rsid w:val="00AE3B9D"/>
    <w:rsid w:val="00B13D6D"/>
    <w:rsid w:val="00B44C8B"/>
    <w:rsid w:val="00B473E3"/>
    <w:rsid w:val="00B537F3"/>
    <w:rsid w:val="00B64174"/>
    <w:rsid w:val="00B73F95"/>
    <w:rsid w:val="00BC5158"/>
    <w:rsid w:val="00BE6020"/>
    <w:rsid w:val="00BE60D8"/>
    <w:rsid w:val="00BF3B2D"/>
    <w:rsid w:val="00C34424"/>
    <w:rsid w:val="00C36585"/>
    <w:rsid w:val="00C36C7B"/>
    <w:rsid w:val="00C61C2A"/>
    <w:rsid w:val="00C70256"/>
    <w:rsid w:val="00C72FA1"/>
    <w:rsid w:val="00C771CD"/>
    <w:rsid w:val="00C834A8"/>
    <w:rsid w:val="00C92EFE"/>
    <w:rsid w:val="00C94715"/>
    <w:rsid w:val="00C9698F"/>
    <w:rsid w:val="00CC1C12"/>
    <w:rsid w:val="00CD1D72"/>
    <w:rsid w:val="00CD3CC3"/>
    <w:rsid w:val="00CD6798"/>
    <w:rsid w:val="00D130A4"/>
    <w:rsid w:val="00D26C93"/>
    <w:rsid w:val="00D369CE"/>
    <w:rsid w:val="00D525E2"/>
    <w:rsid w:val="00D60E01"/>
    <w:rsid w:val="00D70E96"/>
    <w:rsid w:val="00D923CD"/>
    <w:rsid w:val="00D935AB"/>
    <w:rsid w:val="00DB55E8"/>
    <w:rsid w:val="00DB6260"/>
    <w:rsid w:val="00DC3C9D"/>
    <w:rsid w:val="00DD417C"/>
    <w:rsid w:val="00DE1127"/>
    <w:rsid w:val="00DE47E1"/>
    <w:rsid w:val="00DF0F64"/>
    <w:rsid w:val="00E03E2D"/>
    <w:rsid w:val="00E07E68"/>
    <w:rsid w:val="00E11A66"/>
    <w:rsid w:val="00E50414"/>
    <w:rsid w:val="00E63C23"/>
    <w:rsid w:val="00E656BE"/>
    <w:rsid w:val="00E73931"/>
    <w:rsid w:val="00E76BC4"/>
    <w:rsid w:val="00E84417"/>
    <w:rsid w:val="00E86E83"/>
    <w:rsid w:val="00E97345"/>
    <w:rsid w:val="00EB14FC"/>
    <w:rsid w:val="00EB6475"/>
    <w:rsid w:val="00EB7BD0"/>
    <w:rsid w:val="00EC513F"/>
    <w:rsid w:val="00ED5087"/>
    <w:rsid w:val="00EE1858"/>
    <w:rsid w:val="00EF5C98"/>
    <w:rsid w:val="00F15800"/>
    <w:rsid w:val="00F158D2"/>
    <w:rsid w:val="00F23370"/>
    <w:rsid w:val="00F372F0"/>
    <w:rsid w:val="00F378F3"/>
    <w:rsid w:val="00F45F1A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B4365"/>
    <w:rsid w:val="00FC15E2"/>
    <w:rsid w:val="00FC1900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4BD918F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32C8AE1"/>
    <w:rsid w:val="456BA0D4"/>
    <w:rsid w:val="45996D51"/>
    <w:rsid w:val="45FEF44B"/>
    <w:rsid w:val="47DA1FFC"/>
    <w:rsid w:val="49A09E68"/>
    <w:rsid w:val="4B84474F"/>
    <w:rsid w:val="4BD4C706"/>
    <w:rsid w:val="4C656CAB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6F5A2DF3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227B9-3D84-4EF0-BAFC-D2B2023F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2481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2025-12-23T08:33:00Z</dcterms:created>
  <dcterms:modified xsi:type="dcterms:W3CDTF">2026-01-22T13:05:00Z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