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3706D3">
      <w:pPr>
        <w:pStyle w:val="Nadpis1"/>
      </w:pPr>
    </w:p>
    <w:p w14:paraId="5C2960D5" w14:textId="75BEFD9E" w:rsidR="00F372F0" w:rsidRPr="00242988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0F62F6EA" w:rsidR="00F372F0" w:rsidRPr="00242988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(dále též „OZ“)</w:t>
      </w:r>
    </w:p>
    <w:p w14:paraId="31D7BE4C" w14:textId="2152CE69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„smlouva“)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57568FA7" w14:textId="54387B2A" w:rsidR="00F372F0" w:rsidRPr="0024298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Nové sady 988/2, Staré Brno, 602 00 Brno</w:t>
      </w:r>
      <w:r w:rsidR="00F372F0" w:rsidRPr="00242988">
        <w:rPr>
          <w:rFonts w:ascii="Arial" w:hAnsi="Arial" w:cs="Arial"/>
        </w:rPr>
        <w:t xml:space="preserve"> 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18C525EA" w14:textId="663537CE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ČSOB, číslo účtu 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kergnjx</w:t>
      </w:r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kupující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2738DF32" w14:textId="26F9ABF3" w:rsidR="00F372F0" w:rsidRPr="0023635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Bankovní spojení: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prodávající</w:t>
      </w:r>
      <w:r w:rsidRPr="00242988">
        <w:rPr>
          <w:rFonts w:ascii="Arial" w:hAnsi="Arial" w:cs="Arial"/>
        </w:rPr>
        <w:t>“</w:t>
      </w:r>
    </w:p>
    <w:p w14:paraId="7B4F78E4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(kupující a prodávající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086E3060" w14:textId="0218C646" w:rsidR="000B2927" w:rsidRDefault="000B2927" w:rsidP="000B2927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Pr="0094383C">
        <w:rPr>
          <w:rFonts w:ascii="Arial" w:hAnsi="Arial" w:cs="Arial"/>
          <w:b/>
          <w:bCs/>
        </w:rPr>
        <w:t>Lehátka pro Sanatorium Pálava</w:t>
      </w:r>
      <w:r w:rsidR="00BE6020">
        <w:rPr>
          <w:rFonts w:ascii="Arial" w:hAnsi="Arial" w:cs="Arial"/>
          <w:b/>
          <w:bCs/>
        </w:rPr>
        <w:t xml:space="preserve"> – </w:t>
      </w:r>
      <w:r w:rsidR="00BE6020" w:rsidRPr="00BE6020">
        <w:rPr>
          <w:rFonts w:ascii="Arial" w:hAnsi="Arial" w:cs="Arial"/>
          <w:b/>
          <w:bCs/>
        </w:rPr>
        <w:t>Část 1 – Rehabilitační lehátka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smlouvy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</w:p>
    <w:p w14:paraId="2028E839" w14:textId="77777777" w:rsidR="00A630E6" w:rsidRDefault="00A630E6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77777777" w:rsidR="004A5AFD" w:rsidRDefault="004A5AFD" w:rsidP="004A5AFD">
      <w:pPr>
        <w:pStyle w:val="Odstavecseseznamem"/>
        <w:spacing w:before="480" w:line="276" w:lineRule="auto"/>
        <w:ind w:left="357"/>
        <w:contextualSpacing w:val="0"/>
        <w:rPr>
          <w:rFonts w:ascii="Arial" w:hAnsi="Arial" w:cs="Arial"/>
          <w:b/>
        </w:rPr>
      </w:pPr>
      <w:bookmarkStart w:id="0" w:name="_Ref181592014"/>
    </w:p>
    <w:p w14:paraId="504DFBE3" w14:textId="2792AC6D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Předmět smlouvy</w:t>
      </w:r>
      <w:bookmarkEnd w:id="0"/>
    </w:p>
    <w:p w14:paraId="5AC50BE1" w14:textId="035FEC21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touto smlouvou zavazuje na místo plnění </w:t>
      </w:r>
      <w:r>
        <w:rPr>
          <w:rFonts w:ascii="Arial" w:hAnsi="Arial" w:cs="Arial"/>
        </w:rPr>
        <w:t xml:space="preserve">kupujícímu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86466">
        <w:rPr>
          <w:rFonts w:ascii="Arial" w:hAnsi="Arial" w:cs="Arial"/>
        </w:rPr>
        <w:t> </w:t>
      </w:r>
      <w:r>
        <w:rPr>
          <w:rFonts w:ascii="Arial" w:hAnsi="Arial" w:cs="Arial"/>
        </w:rPr>
        <w:t>podmínek smlouvy a technické specifikace (</w:t>
      </w:r>
      <w:r w:rsidR="002D050D">
        <w:rPr>
          <w:rFonts w:ascii="Arial" w:hAnsi="Arial" w:cs="Arial"/>
        </w:rPr>
        <w:t>P</w:t>
      </w:r>
      <w:r>
        <w:rPr>
          <w:rFonts w:ascii="Arial" w:hAnsi="Arial" w:cs="Arial"/>
        </w:rPr>
        <w:t>říloha č. 1 smlouvy –</w:t>
      </w:r>
      <w:r w:rsidR="001409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„technická specifikace“):</w:t>
      </w:r>
      <w:bookmarkEnd w:id="1"/>
    </w:p>
    <w:p w14:paraId="7C0A4250" w14:textId="466C9400" w:rsidR="001E6A42" w:rsidRPr="001E6A42" w:rsidRDefault="0094383C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bookmarkStart w:id="2" w:name="_Ref206754709"/>
      <w:r>
        <w:rPr>
          <w:rFonts w:ascii="Arial" w:hAnsi="Arial" w:cs="Arial"/>
        </w:rPr>
        <w:t>12</w:t>
      </w:r>
      <w:r w:rsidR="001E6A42" w:rsidRPr="001E6A42">
        <w:rPr>
          <w:rFonts w:ascii="Arial" w:hAnsi="Arial" w:cs="Arial"/>
        </w:rPr>
        <w:t xml:space="preserve"> ks </w:t>
      </w:r>
      <w:r>
        <w:rPr>
          <w:rFonts w:ascii="Arial" w:hAnsi="Arial" w:cs="Arial"/>
        </w:rPr>
        <w:t>relaxačních lehátek</w:t>
      </w:r>
      <w:r w:rsidR="001E6A42" w:rsidRPr="001E6A42">
        <w:rPr>
          <w:rFonts w:ascii="Arial" w:hAnsi="Arial" w:cs="Arial"/>
        </w:rPr>
        <w:t>;</w:t>
      </w:r>
      <w:bookmarkEnd w:id="2"/>
    </w:p>
    <w:p w14:paraId="309EEB5A" w14:textId="47ED1E46" w:rsidR="001E6A42" w:rsidRDefault="001546A9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E6A42" w:rsidRPr="001E6A42">
        <w:rPr>
          <w:rFonts w:ascii="Arial" w:hAnsi="Arial" w:cs="Arial"/>
        </w:rPr>
        <w:t xml:space="preserve"> ks </w:t>
      </w:r>
      <w:r w:rsidR="0094383C">
        <w:rPr>
          <w:rFonts w:ascii="Arial" w:hAnsi="Arial" w:cs="Arial"/>
        </w:rPr>
        <w:t>vyšetřovacích lehátek</w:t>
      </w:r>
      <w:r w:rsidR="001E6A42" w:rsidRPr="001E6A42">
        <w:rPr>
          <w:rFonts w:ascii="Arial" w:hAnsi="Arial" w:cs="Arial"/>
        </w:rPr>
        <w:t>;</w:t>
      </w:r>
    </w:p>
    <w:p w14:paraId="70AEDEF8" w14:textId="645A8700" w:rsidR="00895564" w:rsidRDefault="00895564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 ks masážních lehátek;</w:t>
      </w:r>
    </w:p>
    <w:p w14:paraId="33ACBCAC" w14:textId="51308FDF" w:rsidR="00895564" w:rsidRPr="001E6A42" w:rsidRDefault="00895564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r w:rsidRPr="001E6A42">
        <w:rPr>
          <w:rFonts w:ascii="Arial" w:hAnsi="Arial" w:cs="Arial"/>
        </w:rPr>
        <w:t>1</w:t>
      </w:r>
      <w:r w:rsidR="001546A9">
        <w:rPr>
          <w:rFonts w:ascii="Arial" w:hAnsi="Arial" w:cs="Arial"/>
        </w:rPr>
        <w:t>1</w:t>
      </w:r>
      <w:r w:rsidRPr="001E6A42">
        <w:rPr>
          <w:rFonts w:ascii="Arial" w:hAnsi="Arial" w:cs="Arial"/>
        </w:rPr>
        <w:t xml:space="preserve"> ks </w:t>
      </w:r>
      <w:r>
        <w:rPr>
          <w:rFonts w:ascii="Arial" w:hAnsi="Arial" w:cs="Arial"/>
        </w:rPr>
        <w:t>t</w:t>
      </w:r>
      <w:r w:rsidRPr="0094383C">
        <w:rPr>
          <w:rFonts w:ascii="Arial" w:hAnsi="Arial" w:cs="Arial"/>
        </w:rPr>
        <w:t>erapeutick</w:t>
      </w:r>
      <w:r>
        <w:rPr>
          <w:rFonts w:ascii="Arial" w:hAnsi="Arial" w:cs="Arial"/>
        </w:rPr>
        <w:t>ých</w:t>
      </w:r>
      <w:r w:rsidRPr="0094383C">
        <w:rPr>
          <w:rFonts w:ascii="Arial" w:hAnsi="Arial" w:cs="Arial"/>
        </w:rPr>
        <w:t xml:space="preserve"> lehát</w:t>
      </w:r>
      <w:r>
        <w:rPr>
          <w:rFonts w:ascii="Arial" w:hAnsi="Arial" w:cs="Arial"/>
        </w:rPr>
        <w:t>e</w:t>
      </w:r>
      <w:r w:rsidRPr="0094383C">
        <w:rPr>
          <w:rFonts w:ascii="Arial" w:hAnsi="Arial" w:cs="Arial"/>
        </w:rPr>
        <w:t>k</w:t>
      </w:r>
      <w:r w:rsidR="00AD760D">
        <w:rPr>
          <w:rFonts w:ascii="Arial" w:hAnsi="Arial" w:cs="Arial"/>
        </w:rPr>
        <w:t>;</w:t>
      </w:r>
    </w:p>
    <w:p w14:paraId="313220A6" w14:textId="1F8E797F" w:rsidR="001E6A42" w:rsidRPr="0024685D" w:rsidRDefault="001546A9" w:rsidP="0024685D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E6A42" w:rsidRPr="001E6A42">
        <w:rPr>
          <w:rFonts w:ascii="Arial" w:hAnsi="Arial" w:cs="Arial"/>
        </w:rPr>
        <w:t xml:space="preserve"> ks </w:t>
      </w:r>
      <w:r w:rsidR="0094383C" w:rsidRPr="0094383C">
        <w:rPr>
          <w:rFonts w:ascii="Arial" w:hAnsi="Arial" w:cs="Arial"/>
        </w:rPr>
        <w:t>lehát</w:t>
      </w:r>
      <w:r w:rsidR="0094383C">
        <w:rPr>
          <w:rFonts w:ascii="Arial" w:hAnsi="Arial" w:cs="Arial"/>
        </w:rPr>
        <w:t>e</w:t>
      </w:r>
      <w:r w:rsidR="0094383C" w:rsidRPr="0094383C">
        <w:rPr>
          <w:rFonts w:ascii="Arial" w:hAnsi="Arial" w:cs="Arial"/>
        </w:rPr>
        <w:t>k</w:t>
      </w:r>
      <w:r w:rsidR="0094383C">
        <w:rPr>
          <w:rFonts w:ascii="Arial" w:hAnsi="Arial" w:cs="Arial"/>
        </w:rPr>
        <w:t xml:space="preserve"> </w:t>
      </w:r>
      <w:r w:rsidR="0094383C" w:rsidRPr="0094383C">
        <w:rPr>
          <w:rFonts w:ascii="Arial" w:hAnsi="Arial" w:cs="Arial"/>
        </w:rPr>
        <w:t>– Vojtův stůl</w:t>
      </w:r>
      <w:r w:rsidR="001E6A42" w:rsidRPr="001E6A42">
        <w:rPr>
          <w:rFonts w:ascii="Arial" w:hAnsi="Arial" w:cs="Arial"/>
        </w:rPr>
        <w:t>;</w:t>
      </w:r>
    </w:p>
    <w:p w14:paraId="7670C441" w14:textId="6BF2226D" w:rsidR="00743C31" w:rsidRPr="003525EB" w:rsidRDefault="00743C31" w:rsidP="00743C31">
      <w:pPr>
        <w:pStyle w:val="Odstavecseseznamem"/>
        <w:spacing w:line="276" w:lineRule="auto"/>
        <w:ind w:left="1134"/>
        <w:contextualSpacing w:val="0"/>
        <w:rPr>
          <w:rFonts w:ascii="Arial" w:hAnsi="Arial" w:cs="Arial"/>
        </w:rPr>
      </w:pPr>
      <w:r w:rsidRPr="003525EB">
        <w:rPr>
          <w:rFonts w:ascii="Arial" w:hAnsi="Arial" w:cs="Arial"/>
        </w:rPr>
        <w:t>(dále souhrnně</w:t>
      </w:r>
      <w:r w:rsidR="00895564">
        <w:rPr>
          <w:rFonts w:ascii="Arial" w:hAnsi="Arial" w:cs="Arial"/>
        </w:rPr>
        <w:t xml:space="preserve"> písm. a) až </w:t>
      </w:r>
      <w:r w:rsidR="0024685D">
        <w:rPr>
          <w:rFonts w:ascii="Arial" w:hAnsi="Arial" w:cs="Arial"/>
        </w:rPr>
        <w:t>e</w:t>
      </w:r>
      <w:r w:rsidR="00895564">
        <w:rPr>
          <w:rFonts w:ascii="Arial" w:hAnsi="Arial" w:cs="Arial"/>
        </w:rPr>
        <w:t>)</w:t>
      </w:r>
      <w:r w:rsidRPr="003525EB">
        <w:rPr>
          <w:rFonts w:ascii="Arial" w:hAnsi="Arial" w:cs="Arial"/>
        </w:rPr>
        <w:t xml:space="preserve"> jen jako „zboží“).</w:t>
      </w:r>
    </w:p>
    <w:p w14:paraId="44A93D44" w14:textId="2927A16E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konkrétních místností dle technické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726A28CF" w14:textId="6C957EA5" w:rsidR="00CD4277" w:rsidRDefault="00CD4277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CD4277">
        <w:rPr>
          <w:rFonts w:ascii="Arial" w:hAnsi="Arial" w:cs="Arial"/>
        </w:rPr>
        <w:t>odvoz a likvidace odpadu vč. obalů vzniklých při dodání a montáži zboží v souladu s</w:t>
      </w:r>
      <w:r>
        <w:rPr>
          <w:rFonts w:ascii="Arial" w:hAnsi="Arial" w:cs="Arial"/>
        </w:rPr>
        <w:t> </w:t>
      </w:r>
      <w:r w:rsidRPr="00CD4277">
        <w:rPr>
          <w:rFonts w:ascii="Arial" w:hAnsi="Arial" w:cs="Arial"/>
        </w:rPr>
        <w:t>platnými právními předpisy vztahujícími se k likvidaci odpadů;</w:t>
      </w:r>
    </w:p>
    <w:p w14:paraId="5512337C" w14:textId="687B59E3" w:rsidR="00DB55E8" w:rsidRPr="00895564" w:rsidRDefault="00DB55E8" w:rsidP="00DB55E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Pr="00895564">
        <w:rPr>
          <w:rFonts w:ascii="Arial" w:hAnsi="Arial" w:cs="Arial"/>
        </w:rPr>
        <w:t>kolení</w:t>
      </w:r>
      <w:r>
        <w:rPr>
          <w:rFonts w:ascii="Arial" w:hAnsi="Arial" w:cs="Arial"/>
        </w:rPr>
        <w:t xml:space="preserve"> celého</w:t>
      </w:r>
      <w:r w:rsidRPr="008955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personálu </w:t>
      </w:r>
      <w:r w:rsidRPr="001546A9">
        <w:rPr>
          <w:rFonts w:ascii="Arial" w:hAnsi="Arial" w:cs="Arial"/>
        </w:rPr>
        <w:t>přímo v místě dodání na</w:t>
      </w:r>
      <w:r w:rsidRPr="00895564">
        <w:rPr>
          <w:rFonts w:ascii="Arial" w:hAnsi="Arial" w:cs="Arial"/>
        </w:rPr>
        <w:t xml:space="preserve"> výzvu kupujícího kdykoliv do</w:t>
      </w:r>
      <w:r>
        <w:rPr>
          <w:rFonts w:ascii="Arial" w:hAnsi="Arial" w:cs="Arial"/>
        </w:rPr>
        <w:t> 1 </w:t>
      </w:r>
      <w:r w:rsidRPr="00895564">
        <w:rPr>
          <w:rFonts w:ascii="Arial" w:hAnsi="Arial" w:cs="Arial"/>
        </w:rPr>
        <w:t>rok</w:t>
      </w:r>
      <w:r>
        <w:rPr>
          <w:rFonts w:ascii="Arial" w:hAnsi="Arial" w:cs="Arial"/>
        </w:rPr>
        <w:t>u</w:t>
      </w:r>
      <w:r w:rsidRPr="00895564">
        <w:rPr>
          <w:rFonts w:ascii="Arial" w:hAnsi="Arial" w:cs="Arial"/>
        </w:rPr>
        <w:t xml:space="preserve"> od dodání zboží</w:t>
      </w:r>
      <w:r>
        <w:rPr>
          <w:rFonts w:ascii="Arial" w:hAnsi="Arial" w:cs="Arial"/>
        </w:rPr>
        <w:t>;</w:t>
      </w:r>
    </w:p>
    <w:p w14:paraId="41C5F6BB" w14:textId="28377B95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této</w:t>
      </w:r>
      <w:r w:rsidRPr="00743C31">
        <w:rPr>
          <w:rFonts w:ascii="Arial" w:hAnsi="Arial" w:cs="Arial"/>
        </w:rPr>
        <w:t xml:space="preserve"> smlouvy a technické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6F1F4E2D" w14:textId="4434ECBE" w:rsidR="00F372F0" w:rsidRPr="0053562E" w:rsidRDefault="00233427" w:rsidP="0053562E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provádění bezpečnostně technické kontroly (BTK) </w:t>
      </w:r>
      <w:r w:rsidR="00DB55E8">
        <w:rPr>
          <w:rFonts w:ascii="Arial" w:hAnsi="Arial" w:cs="Arial"/>
        </w:rPr>
        <w:t xml:space="preserve">zboží </w:t>
      </w:r>
      <w:r w:rsidRPr="00233427">
        <w:rPr>
          <w:rFonts w:ascii="Arial" w:hAnsi="Arial" w:cs="Arial"/>
        </w:rPr>
        <w:t>po dobu záruky</w:t>
      </w:r>
      <w:r w:rsidR="0053562E">
        <w:rPr>
          <w:rFonts w:ascii="Arial" w:hAnsi="Arial" w:cs="Arial"/>
        </w:rPr>
        <w:t>.</w:t>
      </w:r>
    </w:p>
    <w:p w14:paraId="461C72FA" w14:textId="7E50EFD7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Prodávající umožní nabýt kupujícímu ke zboží vlastnické právo. Prodávající se zavazuje dodat zboží nové, dříve nepoužívané,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 </w:t>
      </w:r>
    </w:p>
    <w:p w14:paraId="68C753C0" w14:textId="6CA00933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prodávajícímu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743C31">
        <w:rPr>
          <w:rFonts w:ascii="Arial" w:hAnsi="Arial" w:cs="Arial"/>
        </w:rPr>
        <w:t xml:space="preserve">této </w:t>
      </w:r>
      <w:r w:rsidRPr="00242988">
        <w:rPr>
          <w:rFonts w:ascii="Arial" w:hAnsi="Arial" w:cs="Arial"/>
        </w:rPr>
        <w:t xml:space="preserve">smlouvy.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542E7E68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3163/770 v k. ú. Mušov (48.8999978N,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technické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>Pro orientaci na místě při dodání do konkrétní místnosti slouží Příloha č. 3 – Výkresy pater (půdorysy)</w:t>
      </w:r>
      <w:r w:rsidR="00775365" w:rsidRPr="00FE5088">
        <w:rPr>
          <w:rFonts w:ascii="Arial" w:hAnsi="Arial" w:cs="Arial"/>
        </w:rPr>
        <w:t xml:space="preserve"> a technická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 odpovědnosti prodávajícího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59D353F2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>montáž zboží</w:t>
      </w:r>
      <w:bookmarkStart w:id="6" w:name="_Ref182141099"/>
      <w:bookmarkEnd w:id="4"/>
      <w:r w:rsidR="00E07E68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do </w:t>
      </w:r>
      <w:r w:rsidR="002D1DF6" w:rsidRPr="00E07E68">
        <w:rPr>
          <w:rFonts w:ascii="Arial" w:hAnsi="Arial" w:cs="Arial"/>
        </w:rPr>
        <w:t>9</w:t>
      </w:r>
      <w:r w:rsidRPr="00E07E68">
        <w:rPr>
          <w:rFonts w:ascii="Arial" w:hAnsi="Arial" w:cs="Arial"/>
        </w:rPr>
        <w:t>0 kalendářních dnů od</w:t>
      </w:r>
      <w:r w:rsidR="002D1AF9">
        <w:rPr>
          <w:rFonts w:ascii="Arial" w:hAnsi="Arial" w:cs="Arial"/>
        </w:rPr>
        <w:t> </w:t>
      </w:r>
      <w:r w:rsidRPr="00E07E68">
        <w:rPr>
          <w:rFonts w:ascii="Arial" w:hAnsi="Arial" w:cs="Arial"/>
        </w:rPr>
        <w:t>účinnosti smlouvy</w:t>
      </w:r>
      <w:bookmarkEnd w:id="5"/>
      <w:bookmarkEnd w:id="6"/>
      <w:r w:rsidR="00D935AB">
        <w:rPr>
          <w:rFonts w:ascii="Arial" w:hAnsi="Arial" w:cs="Arial"/>
        </w:rPr>
        <w:t xml:space="preserve"> a zároveň</w:t>
      </w:r>
      <w:r w:rsidR="00430DE0">
        <w:rPr>
          <w:rFonts w:ascii="Arial" w:hAnsi="Arial" w:cs="Arial"/>
        </w:rPr>
        <w:t xml:space="preserve"> ne dříve, než</w:t>
      </w:r>
      <w:r w:rsidR="00D935AB">
        <w:rPr>
          <w:rFonts w:ascii="Arial" w:hAnsi="Arial" w:cs="Arial"/>
        </w:rPr>
        <w:t xml:space="preserve"> </w:t>
      </w:r>
      <w:r w:rsidR="00430DE0">
        <w:rPr>
          <w:rFonts w:ascii="Arial" w:hAnsi="Arial" w:cs="Arial"/>
        </w:rPr>
        <w:t>provede kupující v</w:t>
      </w:r>
      <w:r w:rsidR="00D935AB">
        <w:rPr>
          <w:rFonts w:ascii="Arial" w:hAnsi="Arial" w:cs="Arial"/>
        </w:rPr>
        <w:t>ýzvu učiněnou alespoň 14</w:t>
      </w:r>
      <w:r w:rsidR="002D1AF9">
        <w:rPr>
          <w:rFonts w:ascii="Arial" w:hAnsi="Arial" w:cs="Arial"/>
        </w:rPr>
        <w:t> </w:t>
      </w:r>
      <w:r w:rsidR="00D935AB">
        <w:rPr>
          <w:rFonts w:ascii="Arial" w:hAnsi="Arial" w:cs="Arial"/>
        </w:rPr>
        <w:t>dní před možným datem převzetí zboží kupujícím s ohledem na probíhající stavbu v místě plnění.</w:t>
      </w:r>
      <w:r w:rsidR="00430DE0">
        <w:rPr>
          <w:rFonts w:ascii="Arial" w:hAnsi="Arial" w:cs="Arial"/>
        </w:rPr>
        <w:t xml:space="preserve"> Smluvní strany jsou povinny se alespoň 5 pracovních dnů</w:t>
      </w:r>
      <w:r w:rsidR="00C72FA1">
        <w:rPr>
          <w:rFonts w:ascii="Arial" w:hAnsi="Arial" w:cs="Arial"/>
        </w:rPr>
        <w:t xml:space="preserve"> předem dohodnout na konkrétním dni a čase předání zboží</w:t>
      </w:r>
      <w:r w:rsidR="00430DE0">
        <w:rPr>
          <w:rFonts w:ascii="Arial" w:hAnsi="Arial" w:cs="Arial"/>
        </w:rPr>
        <w:t>.</w:t>
      </w:r>
      <w:r w:rsidR="00D935AB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>Montáží se rozumí vybalení zboží a</w:t>
      </w:r>
      <w:r w:rsidR="00D507C5">
        <w:rPr>
          <w:rFonts w:ascii="Arial" w:hAnsi="Arial" w:cs="Arial"/>
        </w:rPr>
        <w:t> </w:t>
      </w:r>
      <w:r w:rsidR="00016F89">
        <w:rPr>
          <w:rFonts w:ascii="Arial" w:hAnsi="Arial" w:cs="Arial"/>
        </w:rPr>
        <w:t xml:space="preserve">jeho montáž, resp. sestavení </w:t>
      </w:r>
      <w:r w:rsidR="00016F89" w:rsidRPr="00242988">
        <w:rPr>
          <w:rFonts w:ascii="Arial" w:hAnsi="Arial" w:cs="Arial"/>
        </w:rPr>
        <w:t xml:space="preserve">v místě </w:t>
      </w:r>
      <w:r w:rsidR="00016F89">
        <w:rPr>
          <w:rFonts w:ascii="Arial" w:hAnsi="Arial" w:cs="Arial"/>
        </w:rPr>
        <w:t>plnění tak, aby mohlo být kupujícím řádně užíváno.</w:t>
      </w:r>
    </w:p>
    <w:p w14:paraId="29C8F842" w14:textId="669296AF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prodávající i kupující. V případě, kdy kupující nepřevezme zboží předávané mu prodávajícím,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protokolu i s důvody, které ho </w:t>
      </w:r>
      <w:r w:rsidRPr="00242988">
        <w:rPr>
          <w:rFonts w:ascii="Arial" w:hAnsi="Arial" w:cs="Arial"/>
        </w:rPr>
        <w:lastRenderedPageBreak/>
        <w:t>k nepřevzetí zboží vedou</w:t>
      </w:r>
      <w:r>
        <w:rPr>
          <w:rFonts w:ascii="Arial" w:hAnsi="Arial" w:cs="Arial"/>
        </w:rPr>
        <w:t>, má se pak za to, že zboží nebylo dodáno, dokud nedojde k převzetí zboží kupujícím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70E12C1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umožnit prodávajícímu vstup na místo plnění tak, aby mohla být řádně provedena dodávka zboží. </w:t>
      </w:r>
    </w:p>
    <w:p w14:paraId="548991DA" w14:textId="2F7BBD3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věc mohla spolehlivě plnit svůj účel. </w:t>
      </w:r>
    </w:p>
    <w:p w14:paraId="3F1585DD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se zavazuje obstarat a předat kupujícímu ke dni odevzdání věci 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290F2D32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kupujícího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</w:t>
      </w:r>
      <w:r w:rsidR="00D507C5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C94715">
        <w:rPr>
          <w:rFonts w:ascii="Arial" w:hAnsi="Arial" w:cs="Arial"/>
        </w:rPr>
        <w:t xml:space="preserve">Osobami pověřenými jednat za smluvní strany ve věci dodání zboží jsou: </w:t>
      </w:r>
    </w:p>
    <w:p w14:paraId="6D50034F" w14:textId="09255CD2" w:rsidR="00C94715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C94715">
        <w:rPr>
          <w:rFonts w:ascii="Arial" w:hAnsi="Arial" w:cs="Arial"/>
        </w:rPr>
        <w:t>za stranu kupujícího:</w:t>
      </w:r>
      <w:r w:rsidR="00016F89">
        <w:rPr>
          <w:rFonts w:ascii="Arial" w:hAnsi="Arial" w:cs="Arial"/>
        </w:rPr>
        <w:tab/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</w:p>
    <w:p w14:paraId="4C95CD4E" w14:textId="26F27263" w:rsidR="00F372F0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016F89">
        <w:rPr>
          <w:rFonts w:ascii="Arial" w:hAnsi="Arial" w:cs="Arial"/>
        </w:rPr>
        <w:t>za stranu prodávajícího: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8" w:name="_Ref148903246"/>
      <w:r w:rsidRPr="00242988">
        <w:rPr>
          <w:rFonts w:ascii="Arial" w:hAnsi="Arial" w:cs="Arial"/>
          <w:b/>
        </w:rPr>
        <w:t>Kupní cena a platební podmínky</w:t>
      </w:r>
      <w:bookmarkEnd w:id="8"/>
    </w:p>
    <w:p w14:paraId="44D2629F" w14:textId="380E24BE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9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prodávající kupujícímu dle </w:t>
      </w:r>
      <w:r w:rsidR="002D1DF6" w:rsidRPr="00242988">
        <w:rPr>
          <w:rFonts w:ascii="Arial" w:hAnsi="Arial" w:cs="Arial"/>
        </w:rPr>
        <w:t>podmínek smlouvy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9"/>
      <w:r w:rsidRPr="00A630E6">
        <w:rPr>
          <w:rFonts w:ascii="Arial" w:hAnsi="Arial" w:cs="Arial"/>
        </w:rPr>
        <w:t xml:space="preserve"> </w:t>
      </w:r>
    </w:p>
    <w:p w14:paraId="2F7E19FF" w14:textId="42A6074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>
        <w:rPr>
          <w:rFonts w:ascii="Arial" w:hAnsi="Arial" w:cs="Arial"/>
        </w:rPr>
        <w:t> cenovém rozpadu a smluvní strany se dohodly, že pokud placení dle smlouvy proběhne za jednotlivé položky zboží, je cena vždy určena cenou uvedenou u příslušné položky cenového rozpadu.</w:t>
      </w:r>
    </w:p>
    <w:p w14:paraId="649C1A5F" w14:textId="17F0EC0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prodávajícího na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 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 této smlouvy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263572A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prodávajícímu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3173C5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>0 dnů od okamžiku jejich doručení kupující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>. Dnem splatnosti faktur se rozumí den odepsání příslušné částky z účtu kupující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prodávajícího.</w:t>
      </w:r>
      <w:bookmarkEnd w:id="10"/>
    </w:p>
    <w:p w14:paraId="3D5A4A7C" w14:textId="4739DCD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kupujícím</w:t>
      </w:r>
      <w:r w:rsidRPr="00242988">
        <w:rPr>
          <w:rFonts w:ascii="Arial" w:hAnsi="Arial" w:cs="Arial"/>
        </w:rPr>
        <w:t>.</w:t>
      </w:r>
      <w:bookmarkEnd w:id="11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1316E34E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lastRenderedPageBreak/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 29 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>náležitosti stanovené v § 435 OZ. Daňový doklad musí obsahovat cenu bez DPH, DPH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smlouvy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smlouvy. </w:t>
      </w:r>
    </w:p>
    <w:p w14:paraId="69036804" w14:textId="046897D5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kupujícímu.</w:t>
      </w:r>
    </w:p>
    <w:p w14:paraId="0A8F89A2" w14:textId="166B608A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12" w:name="_Ref148915048"/>
      <w:r w:rsidRPr="00242988">
        <w:rPr>
          <w:rFonts w:ascii="Arial" w:hAnsi="Arial" w:cs="Arial"/>
          <w:b/>
        </w:rPr>
        <w:t xml:space="preserve">Práva a povinnosti z vadného plnění, záruka za jakost, záruční </w:t>
      </w:r>
      <w:bookmarkEnd w:id="12"/>
      <w:r w:rsidR="00907F8A">
        <w:rPr>
          <w:rFonts w:ascii="Arial" w:hAnsi="Arial" w:cs="Arial"/>
          <w:b/>
        </w:rPr>
        <w:t>servis</w:t>
      </w:r>
    </w:p>
    <w:p w14:paraId="3F9FB344" w14:textId="1947D012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3" w:name="_Ref532978563"/>
      <w:r w:rsidRPr="00242988">
        <w:rPr>
          <w:rFonts w:ascii="Arial" w:hAnsi="Arial" w:cs="Arial"/>
        </w:rPr>
        <w:t xml:space="preserve">Prodávající garantuje kupujícímu, že zboží bude způsobilé ke smluvnímu účelu užívání v souladu s předanou dokumentací a </w:t>
      </w:r>
      <w:r w:rsidR="002D1DF6" w:rsidRPr="00242988">
        <w:rPr>
          <w:rFonts w:ascii="Arial" w:hAnsi="Arial" w:cs="Arial"/>
        </w:rPr>
        <w:t>podmínkami smlouvy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479EEEA1" w:rsidR="00233427" w:rsidRPr="00242988" w:rsidRDefault="00233427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>Během trvání záruční doby se prodávající zavazuje poskytovat kupujícímu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00971859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005358A4">
        <w:rPr>
          <w:rFonts w:ascii="Arial" w:hAnsi="Arial" w:cs="Arial"/>
        </w:rPr>
        <w:t xml:space="preserve">předány kupujícímu v místě plnění nebo </w:t>
      </w:r>
      <w:r w:rsidRPr="00233427">
        <w:rPr>
          <w:rFonts w:ascii="Arial" w:hAnsi="Arial" w:cs="Arial"/>
        </w:rPr>
        <w:t>zaslány na adresu</w:t>
      </w:r>
      <w:r w:rsidR="005358A4">
        <w:rPr>
          <w:rFonts w:ascii="Arial" w:hAnsi="Arial" w:cs="Arial"/>
        </w:rPr>
        <w:t xml:space="preserve"> sídla, v případě elektronických verzí pak na e-mail osoby dle čl. 2.9 této smlouvy.</w:t>
      </w:r>
    </w:p>
    <w:p w14:paraId="6CAD0002" w14:textId="27376A21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148915149"/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kupujícím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>jednotlivých položek). Prodávající se zavazuje, že zboží bude odpovídat této smlouvě a jejím přílohám, přičemž nebude-li zboží odpovídat, má vadu</w:t>
      </w:r>
      <w:r w:rsidRPr="009B7B3F">
        <w:rPr>
          <w:rFonts w:ascii="Arial" w:hAnsi="Arial" w:cs="Arial"/>
        </w:rPr>
        <w:t xml:space="preserve">. </w:t>
      </w:r>
      <w:bookmarkEnd w:id="14"/>
      <w:r w:rsidRPr="009B7B3F">
        <w:rPr>
          <w:rFonts w:ascii="Arial" w:hAnsi="Arial" w:cs="Arial"/>
        </w:rPr>
        <w:t xml:space="preserve"> </w:t>
      </w:r>
    </w:p>
    <w:p w14:paraId="6040F5F4" w14:textId="7987B1D6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uplatní vady</w:t>
      </w:r>
      <w:r w:rsidR="00F372F0" w:rsidRPr="00242988">
        <w:rPr>
          <w:rFonts w:ascii="Arial" w:hAnsi="Arial" w:cs="Arial"/>
        </w:rPr>
        <w:t xml:space="preserve"> formou písemného oznámení (za písemné oznámení se považuje i</w:t>
      </w:r>
      <w:r w:rsidR="00D507C5">
        <w:rPr>
          <w:rFonts w:ascii="Arial" w:hAnsi="Arial" w:cs="Arial"/>
        </w:rPr>
        <w:t> </w:t>
      </w:r>
      <w:r w:rsidR="00F372F0" w:rsidRPr="00242988">
        <w:rPr>
          <w:rFonts w:ascii="Arial" w:hAnsi="Arial" w:cs="Arial"/>
        </w:rPr>
        <w:t>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65BE507B" w:rsidR="00F372F0" w:rsidRPr="00D60E01" w:rsidRDefault="0DCEC82A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489682EC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489682EC">
        <w:rPr>
          <w:rFonts w:ascii="Arial" w:hAnsi="Arial" w:cs="Arial"/>
        </w:rPr>
        <w:t>Prodávající je povinen</w:t>
      </w:r>
      <w:r w:rsidR="0014093B" w:rsidRPr="489682EC">
        <w:rPr>
          <w:rFonts w:ascii="Arial" w:hAnsi="Arial" w:cs="Arial"/>
        </w:rPr>
        <w:t xml:space="preserve"> </w:t>
      </w:r>
      <w:r w:rsidR="00F372F0" w:rsidRPr="489682EC">
        <w:rPr>
          <w:rFonts w:ascii="Arial" w:hAnsi="Arial" w:cs="Arial"/>
        </w:rPr>
        <w:t xml:space="preserve">odstranit vadu po </w:t>
      </w:r>
      <w:r w:rsidR="008A3B63" w:rsidRPr="489682EC">
        <w:rPr>
          <w:rFonts w:ascii="Arial" w:hAnsi="Arial" w:cs="Arial"/>
        </w:rPr>
        <w:t xml:space="preserve">jejím </w:t>
      </w:r>
      <w:r w:rsidR="00F372F0" w:rsidRPr="489682EC">
        <w:rPr>
          <w:rFonts w:ascii="Arial" w:hAnsi="Arial" w:cs="Arial"/>
        </w:rPr>
        <w:t xml:space="preserve">nahlášení nejpozději do </w:t>
      </w:r>
      <w:r w:rsidR="00D60E01" w:rsidRPr="489682EC">
        <w:rPr>
          <w:rFonts w:ascii="Arial" w:hAnsi="Arial" w:cs="Arial"/>
        </w:rPr>
        <w:t>15 dnů</w:t>
      </w:r>
      <w:r w:rsidR="00F372F0" w:rsidRPr="489682EC">
        <w:rPr>
          <w:rFonts w:ascii="Arial" w:hAnsi="Arial" w:cs="Arial"/>
        </w:rPr>
        <w:t xml:space="preserve"> od okamžiku </w:t>
      </w:r>
      <w:r w:rsidR="008A3B63" w:rsidRPr="489682EC">
        <w:rPr>
          <w:rFonts w:ascii="Arial" w:hAnsi="Arial" w:cs="Arial"/>
        </w:rPr>
        <w:t>nahlášení vady</w:t>
      </w:r>
      <w:r w:rsidR="00F372F0" w:rsidRPr="489682EC">
        <w:rPr>
          <w:rFonts w:ascii="Arial" w:hAnsi="Arial" w:cs="Arial"/>
        </w:rPr>
        <w:t>, nedohodnou-li se strany písemně jinak. Umožňuje-li to povaha opravy, provede technik úkony záruční</w:t>
      </w:r>
      <w:r w:rsidR="0014093B" w:rsidRPr="489682EC">
        <w:rPr>
          <w:rFonts w:ascii="Arial" w:hAnsi="Arial" w:cs="Arial"/>
        </w:rPr>
        <w:t xml:space="preserve">ho servisu </w:t>
      </w:r>
      <w:r w:rsidR="00F372F0" w:rsidRPr="489682EC">
        <w:rPr>
          <w:rFonts w:ascii="Arial" w:hAnsi="Arial" w:cs="Arial"/>
        </w:rPr>
        <w:t xml:space="preserve">(opravu) na místě. </w:t>
      </w:r>
      <w:r w:rsidR="00D507C5">
        <w:rPr>
          <w:rFonts w:ascii="Arial" w:hAnsi="Arial" w:cs="Arial"/>
        </w:rPr>
        <w:br/>
      </w:r>
      <w:r w:rsidR="00F372F0" w:rsidRPr="489682EC">
        <w:rPr>
          <w:rFonts w:ascii="Arial" w:hAnsi="Arial" w:cs="Arial"/>
        </w:rPr>
        <w:t>Neumožňuje-li to povaha opravy a je nutné zboží transportovat z místa dodání k záruční opravě a zpět, provede nebo zajistí transport zboží na své náklady a odpovědnost prodávající</w:t>
      </w:r>
      <w:r w:rsidR="00D60E01" w:rsidRPr="489682EC">
        <w:rPr>
          <w:rFonts w:ascii="Arial" w:hAnsi="Arial" w:cs="Arial"/>
        </w:rPr>
        <w:t>.</w:t>
      </w:r>
    </w:p>
    <w:p w14:paraId="1F56D2F4" w14:textId="0E85EA2B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>Vady zboží, které se projeví v průběhu záruční doby, budou prodávajícím odstraněny bezplatně nebo prodávající poskytne kupujícímu náhradní zboží stejných nebo lepších parametrů. Veškeré náklady spojené s výměnou zboží jsou na vrub prodávajícího.</w:t>
      </w:r>
    </w:p>
    <w:p w14:paraId="60E78AAB" w14:textId="16B2CCB9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okud prodávající vadu ve sjednané lhůtě neodstraní či neposkytne kupujícímu náhradní zboží odpovídajících parametrů, je kupující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prodávajícího u jiné osoby.</w:t>
      </w:r>
    </w:p>
    <w:p w14:paraId="354B38E0" w14:textId="30DCE74B" w:rsidR="00907F8A" w:rsidRPr="004A5AFD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Provedenou opravu vady prodávající předá kupujícímu </w:t>
      </w:r>
      <w:r w:rsidR="00D60E01">
        <w:rPr>
          <w:rFonts w:ascii="Arial" w:hAnsi="Arial" w:cs="Arial"/>
        </w:rPr>
        <w:t xml:space="preserve">s </w:t>
      </w:r>
      <w:r w:rsidRPr="00242988">
        <w:rPr>
          <w:rFonts w:ascii="Arial" w:hAnsi="Arial" w:cs="Arial"/>
        </w:rPr>
        <w:t xml:space="preserve">písemným protokolem. </w:t>
      </w:r>
    </w:p>
    <w:bookmarkEnd w:id="13"/>
    <w:p w14:paraId="5966B437" w14:textId="77777777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Ostatní podmínky plnění smlouvy</w:t>
      </w:r>
    </w:p>
    <w:p w14:paraId="29479ABA" w14:textId="0DF7F609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951C36">
        <w:rPr>
          <w:rFonts w:ascii="Arial" w:hAnsi="Arial" w:cs="Arial"/>
        </w:rPr>
        <w:t xml:space="preserve"> 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prodávajícímu.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 (např. rozpočtem či nabídkou zhotovitele).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oprávněn započíst vyčíslené náklady na opravu proti dosud neuhrazené části kupní ceny, a to jednostranným písemným oznámením o zápočtu doručeným prodávajícímu.</w:t>
      </w:r>
    </w:p>
    <w:p w14:paraId="21F90568" w14:textId="18EB742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není oprávněn postoupit práva, povinnosti a závazky ze smlouvy třetí osobě nebo jiným osobám bez předchozího písemného souhlasu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07429177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 platném znění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>je prodávající povinen poskytnout kontrolním orgánům a kupující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5BF4875C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>uveřejněním smlouvy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smluv). Smluvní strany se dohodly, že kupující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>veřejnění smlouvy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Informačním systému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smlouvy uděluje prodávající na dobu neurčitou souhlas se zveřejněním svých údajů </w:t>
      </w:r>
      <w:r w:rsidR="00D60E01">
        <w:rPr>
          <w:rFonts w:ascii="Arial" w:hAnsi="Arial" w:cs="Arial"/>
        </w:rPr>
        <w:t xml:space="preserve">obsažených v této smlouvě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smlouvy za obchodní tajemství. </w:t>
      </w:r>
    </w:p>
    <w:p w14:paraId="6609DA5C" w14:textId="77777777" w:rsidR="00F372F0" w:rsidRPr="00D60E01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</w:p>
    <w:p w14:paraId="7641A7DB" w14:textId="41F2CB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>V případě prodlení prodávajícího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>je kupující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prodávajícím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 a kupující je oprávněn smluvní pokutu případně započíst oproti pohledávce prodávajícího.</w:t>
      </w:r>
    </w:p>
    <w:p w14:paraId="4FD1768B" w14:textId="65ACFC5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61259C">
        <w:rPr>
          <w:rFonts w:ascii="Arial" w:eastAsia="Times New Roman" w:hAnsi="Arial" w:cs="Arial"/>
          <w:lang w:eastAsia="ar-SA"/>
        </w:rPr>
        <w:t>s</w:t>
      </w:r>
      <w:r w:rsidR="00D60E01">
        <w:rPr>
          <w:rFonts w:ascii="Arial" w:eastAsia="Times New Roman" w:hAnsi="Arial" w:cs="Arial"/>
          <w:lang w:eastAsia="ar-SA"/>
        </w:rPr>
        <w:t> odstraněním vady zboží</w:t>
      </w:r>
      <w:r w:rsidRPr="00242988">
        <w:rPr>
          <w:rFonts w:ascii="Arial" w:eastAsia="Times New Roman" w:hAnsi="Arial" w:cs="Arial"/>
          <w:lang w:eastAsia="ar-SA"/>
        </w:rPr>
        <w:t xml:space="preserve"> po předchozím řádném nahlášení vady kupujícím je prodávající povinen uhradit kupujícímu smluvní pokutu ve výši </w:t>
      </w:r>
      <w:r w:rsidR="001923A1">
        <w:rPr>
          <w:rFonts w:ascii="Arial" w:eastAsia="Times New Roman" w:hAnsi="Arial" w:cs="Arial"/>
          <w:lang w:eastAsia="ar-SA"/>
        </w:rPr>
        <w:t>1 0</w:t>
      </w:r>
      <w:r w:rsidR="0002460F" w:rsidRPr="00242988">
        <w:rPr>
          <w:rFonts w:ascii="Arial" w:eastAsia="Times New Roman" w:hAnsi="Arial" w:cs="Arial"/>
          <w:lang w:eastAsia="ar-SA"/>
        </w:rPr>
        <w:t>00</w:t>
      </w:r>
      <w:r w:rsidRPr="00242988">
        <w:rPr>
          <w:rFonts w:ascii="Arial" w:eastAsia="Times New Roman" w:hAnsi="Arial" w:cs="Arial"/>
          <w:lang w:eastAsia="ar-SA"/>
        </w:rPr>
        <w:t> Kč za</w:t>
      </w:r>
      <w:r w:rsidR="00742CAE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70E62294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Zaplacení smluvní pokuty nemá vliv na možnost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náhradu škody </w:t>
      </w:r>
      <w:r w:rsidR="00E933AA">
        <w:rPr>
          <w:rFonts w:ascii="Arial" w:hAnsi="Arial" w:cs="Arial"/>
        </w:rPr>
        <w:t xml:space="preserve">v plné výši vedle smluvní pokuty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255FB72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2A8C1A8F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>dstoupení od smlouvy</w:t>
      </w:r>
    </w:p>
    <w:p w14:paraId="78C101A8" w14:textId="61059FE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případech, v nichž se prodávající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Pr="00242988">
        <w:rPr>
          <w:rFonts w:ascii="Arial" w:hAnsi="Arial" w:cs="Arial"/>
        </w:rPr>
        <w:t>prodávající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4A724B05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případě, jestliže je kupující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Závěrečná ustanovení</w:t>
      </w:r>
    </w:p>
    <w:p w14:paraId="04334BCB" w14:textId="7D5E6132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 xml:space="preserve"> smlouvy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43BE357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Jednotlivá ustanovení smlouvy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nich nezpůsobí neplatnost celku. Pokud by se v důsledku vydání obecně závazného právního předpisu kterékoliv ustanovení smlouvy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E97345">
        <w:rPr>
          <w:rFonts w:ascii="Arial" w:hAnsi="Arial" w:cs="Arial"/>
        </w:rPr>
        <w:t>smlouva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372668F4" w:rsidR="00A630E6" w:rsidRPr="00907F8A" w:rsidRDefault="00F41B5A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smluv.</w:t>
      </w:r>
    </w:p>
    <w:p w14:paraId="52EF516E" w14:textId="78D11952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>sjednávání smlouvy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>plnění smlouvy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</w:p>
    <w:p w14:paraId="0DAEA6EC" w14:textId="6105790C" w:rsidR="00DC3C9D" w:rsidRDefault="00F372F0" w:rsidP="0059689F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Na důkaz souhlasu se zněním smlouvy připojují smluvní strany na základě své pravé</w:t>
      </w:r>
      <w:r w:rsidR="00E97345">
        <w:rPr>
          <w:rFonts w:ascii="Arial" w:hAnsi="Arial" w:cs="Arial"/>
        </w:rPr>
        <w:t>, vážné</w:t>
      </w:r>
      <w:r w:rsidRPr="00242988">
        <w:rPr>
          <w:rFonts w:ascii="Arial" w:hAnsi="Arial" w:cs="Arial"/>
        </w:rPr>
        <w:t xml:space="preserve"> a svobodné </w:t>
      </w:r>
      <w:r w:rsidR="00A145B7">
        <w:rPr>
          <w:rFonts w:ascii="Arial" w:hAnsi="Arial" w:cs="Arial"/>
        </w:rPr>
        <w:t>vů</w:t>
      </w:r>
      <w:r w:rsidR="00FC1900">
        <w:rPr>
          <w:rFonts w:ascii="Arial" w:hAnsi="Arial" w:cs="Arial"/>
        </w:rPr>
        <w:t xml:space="preserve">le </w:t>
      </w:r>
      <w:r w:rsidRPr="00242988">
        <w:rPr>
          <w:rFonts w:ascii="Arial" w:hAnsi="Arial" w:cs="Arial"/>
        </w:rPr>
        <w:t>své podpisy.</w:t>
      </w:r>
    </w:p>
    <w:p w14:paraId="00465420" w14:textId="4719CDCA" w:rsidR="00F372F0" w:rsidRPr="00DC3C9D" w:rsidRDefault="00DC3C9D" w:rsidP="00340D7E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C3C9D">
        <w:rPr>
          <w:rFonts w:ascii="Arial" w:hAnsi="Arial" w:cs="Arial"/>
        </w:rPr>
        <w:br w:type="column"/>
      </w:r>
      <w:r w:rsidR="00F372F0" w:rsidRPr="00DC3C9D">
        <w:rPr>
          <w:rFonts w:ascii="Arial" w:hAnsi="Arial" w:cs="Arial"/>
          <w:highlight w:val="white"/>
        </w:rPr>
        <w:lastRenderedPageBreak/>
        <w:t xml:space="preserve">Nedílnou </w:t>
      </w:r>
      <w:r w:rsidR="002D1DF6" w:rsidRPr="00DC3C9D">
        <w:rPr>
          <w:rFonts w:ascii="Arial" w:hAnsi="Arial" w:cs="Arial"/>
          <w:highlight w:val="white"/>
        </w:rPr>
        <w:t>součástí smlouvy</w:t>
      </w:r>
      <w:r w:rsidR="00F372F0" w:rsidRPr="00DC3C9D">
        <w:rPr>
          <w:rFonts w:ascii="Arial" w:hAnsi="Arial" w:cs="Arial"/>
          <w:highlight w:val="white"/>
        </w:rPr>
        <w:t xml:space="preserve"> jsou:</w:t>
      </w:r>
    </w:p>
    <w:p w14:paraId="2515FF6E" w14:textId="109D5663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</w:p>
    <w:p w14:paraId="45345A87" w14:textId="4E291C36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</w:p>
    <w:p w14:paraId="5E0012B1" w14:textId="10072BEC" w:rsidR="003212B9" w:rsidRPr="007F11F7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Výkresy pater (půdorysy)</w:t>
      </w: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</w:tblGrid>
      <w:tr w:rsidR="00F372F0" w:rsidRPr="00242988" w14:paraId="305C2476" w14:textId="77777777" w:rsidTr="004A5AFD">
        <w:trPr>
          <w:trHeight w:val="582"/>
        </w:trPr>
        <w:tc>
          <w:tcPr>
            <w:tcW w:w="4646" w:type="dxa"/>
          </w:tcPr>
          <w:p w14:paraId="69022857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12D27EEE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39F3A0B5" w14:textId="77777777" w:rsidTr="004A5AFD">
        <w:trPr>
          <w:trHeight w:val="582"/>
        </w:trPr>
        <w:tc>
          <w:tcPr>
            <w:tcW w:w="4646" w:type="dxa"/>
          </w:tcPr>
          <w:p w14:paraId="59EF9EF4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5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4A5AFD">
        <w:trPr>
          <w:trHeight w:val="582"/>
        </w:trPr>
        <w:tc>
          <w:tcPr>
            <w:tcW w:w="4646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4A5AFD">
        <w:trPr>
          <w:trHeight w:val="582"/>
        </w:trPr>
        <w:tc>
          <w:tcPr>
            <w:tcW w:w="4646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5341F5C3" w14:textId="77777777" w:rsidR="004A5AFD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80CEFD" w14:textId="77777777" w:rsidR="004A5AFD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5"/>
      <w:tr w:rsidR="004A5AFD" w:rsidRPr="00242988" w14:paraId="16A91D51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6C4F2565" w14:textId="432CA759" w:rsidR="004A5AFD" w:rsidRDefault="00E07E68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351687DF" w14:textId="77777777" w:rsidR="004A5AFD" w:rsidRPr="00242988" w:rsidRDefault="004A5AFD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9541CB" w14:textId="77777777" w:rsidR="002D1DF6" w:rsidRDefault="002D1DF6" w:rsidP="00907F8A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3E24" w14:textId="77777777" w:rsidR="00587EF8" w:rsidRDefault="00587EF8">
      <w:pPr>
        <w:spacing w:before="0" w:after="0"/>
      </w:pPr>
      <w:r>
        <w:separator/>
      </w:r>
    </w:p>
  </w:endnote>
  <w:endnote w:type="continuationSeparator" w:id="0">
    <w:p w14:paraId="7AA3AE0A" w14:textId="77777777" w:rsidR="00587EF8" w:rsidRDefault="00587E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5D39DE" w:rsidRDefault="00CD3CC3" w:rsidP="00492501">
    <w:pPr>
      <w:pStyle w:val="Zpat"/>
    </w:pPr>
    <w:r w:rsidRPr="005D39DE">
      <w:t xml:space="preserve">Stránka </w:t>
    </w:r>
    <w:r w:rsidRPr="005D39DE">
      <w:fldChar w:fldCharType="begin"/>
    </w:r>
    <w:r w:rsidRPr="005D39DE">
      <w:instrText>PAGE  \* Arabic  \* MERGEFORMAT</w:instrText>
    </w:r>
    <w:r w:rsidRPr="005D39DE">
      <w:fldChar w:fldCharType="separate"/>
    </w:r>
    <w:r w:rsidR="00FA6FC1">
      <w:rPr>
        <w:noProof/>
      </w:rPr>
      <w:t>9</w:t>
    </w:r>
    <w:r w:rsidRPr="005D39DE">
      <w:fldChar w:fldCharType="end"/>
    </w:r>
    <w:r w:rsidRPr="005D39DE">
      <w:t xml:space="preserve"> z </w:t>
    </w:r>
    <w:fldSimple w:instr="NUMPAGES  \* Arabic  \* MERGEFORMAT">
      <w:r w:rsidR="00FA6FC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08DC" w14:textId="77777777" w:rsidR="00587EF8" w:rsidRDefault="00587EF8">
      <w:pPr>
        <w:spacing w:before="0" w:after="0"/>
      </w:pPr>
      <w:r>
        <w:separator/>
      </w:r>
    </w:p>
  </w:footnote>
  <w:footnote w:type="continuationSeparator" w:id="0">
    <w:p w14:paraId="33C7394E" w14:textId="77777777" w:rsidR="00587EF8" w:rsidRDefault="00587E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4549B620" w:rsidR="007A3D83" w:rsidRPr="00BD7D39" w:rsidRDefault="00E07E68" w:rsidP="007A3D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0861D521">
          <wp:simplePos x="0" y="0"/>
          <wp:positionH relativeFrom="margin">
            <wp:posOffset>177800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47007822">
          <wp:simplePos x="0" y="0"/>
          <wp:positionH relativeFrom="margin">
            <wp:posOffset>3489960</wp:posOffset>
          </wp:positionH>
          <wp:positionV relativeFrom="margin">
            <wp:posOffset>-875030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37712269" w14:textId="77777777" w:rsidR="00E07E68" w:rsidRDefault="00E07E68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16F89"/>
    <w:rsid w:val="0002460F"/>
    <w:rsid w:val="00033172"/>
    <w:rsid w:val="00046A0A"/>
    <w:rsid w:val="000528E0"/>
    <w:rsid w:val="00086466"/>
    <w:rsid w:val="000B2927"/>
    <w:rsid w:val="000D00FA"/>
    <w:rsid w:val="000E3A26"/>
    <w:rsid w:val="00117215"/>
    <w:rsid w:val="0012756E"/>
    <w:rsid w:val="00131F69"/>
    <w:rsid w:val="0014093B"/>
    <w:rsid w:val="00145E34"/>
    <w:rsid w:val="001546A9"/>
    <w:rsid w:val="00174D7F"/>
    <w:rsid w:val="00182954"/>
    <w:rsid w:val="001923A1"/>
    <w:rsid w:val="001E6A42"/>
    <w:rsid w:val="001F08A3"/>
    <w:rsid w:val="00212891"/>
    <w:rsid w:val="00214CE7"/>
    <w:rsid w:val="002202E3"/>
    <w:rsid w:val="00230E8D"/>
    <w:rsid w:val="00233427"/>
    <w:rsid w:val="00236358"/>
    <w:rsid w:val="0024685D"/>
    <w:rsid w:val="00262283"/>
    <w:rsid w:val="00274D77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3065D7"/>
    <w:rsid w:val="003212B9"/>
    <w:rsid w:val="003353BA"/>
    <w:rsid w:val="003360D2"/>
    <w:rsid w:val="00337A98"/>
    <w:rsid w:val="00342C13"/>
    <w:rsid w:val="003525EB"/>
    <w:rsid w:val="003706D3"/>
    <w:rsid w:val="0039370B"/>
    <w:rsid w:val="0039479F"/>
    <w:rsid w:val="00397B1E"/>
    <w:rsid w:val="003B2C6D"/>
    <w:rsid w:val="003B35A7"/>
    <w:rsid w:val="003B5931"/>
    <w:rsid w:val="003D0229"/>
    <w:rsid w:val="003F0CE1"/>
    <w:rsid w:val="003F7BD7"/>
    <w:rsid w:val="00430DE0"/>
    <w:rsid w:val="00445D33"/>
    <w:rsid w:val="004709C3"/>
    <w:rsid w:val="0047600F"/>
    <w:rsid w:val="004A5AFD"/>
    <w:rsid w:val="004C271E"/>
    <w:rsid w:val="004C77FF"/>
    <w:rsid w:val="004C7891"/>
    <w:rsid w:val="004D320C"/>
    <w:rsid w:val="004D7B1F"/>
    <w:rsid w:val="00503DB1"/>
    <w:rsid w:val="00525100"/>
    <w:rsid w:val="0053562E"/>
    <w:rsid w:val="005358A4"/>
    <w:rsid w:val="005445ED"/>
    <w:rsid w:val="005636C7"/>
    <w:rsid w:val="0057609E"/>
    <w:rsid w:val="00587EF8"/>
    <w:rsid w:val="005942A3"/>
    <w:rsid w:val="005944C3"/>
    <w:rsid w:val="0059689F"/>
    <w:rsid w:val="00597D5C"/>
    <w:rsid w:val="00601537"/>
    <w:rsid w:val="006122A9"/>
    <w:rsid w:val="0061259C"/>
    <w:rsid w:val="006352E1"/>
    <w:rsid w:val="00665F55"/>
    <w:rsid w:val="0067185B"/>
    <w:rsid w:val="006B3643"/>
    <w:rsid w:val="006B59E8"/>
    <w:rsid w:val="006C072F"/>
    <w:rsid w:val="006D6E41"/>
    <w:rsid w:val="006F080D"/>
    <w:rsid w:val="006F2D27"/>
    <w:rsid w:val="00706530"/>
    <w:rsid w:val="00713AED"/>
    <w:rsid w:val="00714D91"/>
    <w:rsid w:val="007365CB"/>
    <w:rsid w:val="00742CAE"/>
    <w:rsid w:val="00743C31"/>
    <w:rsid w:val="00754FEF"/>
    <w:rsid w:val="00775365"/>
    <w:rsid w:val="007931E2"/>
    <w:rsid w:val="007A3D83"/>
    <w:rsid w:val="007B1EE0"/>
    <w:rsid w:val="007B2EB2"/>
    <w:rsid w:val="007C1FEC"/>
    <w:rsid w:val="007C4EA2"/>
    <w:rsid w:val="007F11F7"/>
    <w:rsid w:val="0080428B"/>
    <w:rsid w:val="00815CB3"/>
    <w:rsid w:val="00817B11"/>
    <w:rsid w:val="00840999"/>
    <w:rsid w:val="0086013A"/>
    <w:rsid w:val="00875EC7"/>
    <w:rsid w:val="008771BB"/>
    <w:rsid w:val="00895564"/>
    <w:rsid w:val="008A3B63"/>
    <w:rsid w:val="008B582C"/>
    <w:rsid w:val="008C1F92"/>
    <w:rsid w:val="008D016F"/>
    <w:rsid w:val="008E285D"/>
    <w:rsid w:val="008F2199"/>
    <w:rsid w:val="008F38AA"/>
    <w:rsid w:val="00907F8A"/>
    <w:rsid w:val="00936FE3"/>
    <w:rsid w:val="0094383C"/>
    <w:rsid w:val="00951C36"/>
    <w:rsid w:val="00956F55"/>
    <w:rsid w:val="009717C2"/>
    <w:rsid w:val="00971859"/>
    <w:rsid w:val="009A48CB"/>
    <w:rsid w:val="009A4B0F"/>
    <w:rsid w:val="009B7B3F"/>
    <w:rsid w:val="009D77A3"/>
    <w:rsid w:val="009D78E2"/>
    <w:rsid w:val="00A145B7"/>
    <w:rsid w:val="00A37F2F"/>
    <w:rsid w:val="00A630E6"/>
    <w:rsid w:val="00A7105B"/>
    <w:rsid w:val="00A84346"/>
    <w:rsid w:val="00AB0B3B"/>
    <w:rsid w:val="00AD4C6D"/>
    <w:rsid w:val="00AD760D"/>
    <w:rsid w:val="00AE3B9D"/>
    <w:rsid w:val="00B13D6D"/>
    <w:rsid w:val="00B537F3"/>
    <w:rsid w:val="00BE6020"/>
    <w:rsid w:val="00BE60D8"/>
    <w:rsid w:val="00C36585"/>
    <w:rsid w:val="00C36C7B"/>
    <w:rsid w:val="00C61C2A"/>
    <w:rsid w:val="00C72FA1"/>
    <w:rsid w:val="00C830E2"/>
    <w:rsid w:val="00C834A8"/>
    <w:rsid w:val="00C92EFE"/>
    <w:rsid w:val="00C94715"/>
    <w:rsid w:val="00CD3CC3"/>
    <w:rsid w:val="00CD4277"/>
    <w:rsid w:val="00CD6798"/>
    <w:rsid w:val="00D130A4"/>
    <w:rsid w:val="00D3033C"/>
    <w:rsid w:val="00D369CE"/>
    <w:rsid w:val="00D507C5"/>
    <w:rsid w:val="00D60E01"/>
    <w:rsid w:val="00D70E96"/>
    <w:rsid w:val="00D923CD"/>
    <w:rsid w:val="00D935AB"/>
    <w:rsid w:val="00DB55E8"/>
    <w:rsid w:val="00DC3C9D"/>
    <w:rsid w:val="00DE1127"/>
    <w:rsid w:val="00DE47E1"/>
    <w:rsid w:val="00DF0F64"/>
    <w:rsid w:val="00E03E2D"/>
    <w:rsid w:val="00E07E68"/>
    <w:rsid w:val="00E11A66"/>
    <w:rsid w:val="00E36C32"/>
    <w:rsid w:val="00E63C23"/>
    <w:rsid w:val="00E73931"/>
    <w:rsid w:val="00E76BC4"/>
    <w:rsid w:val="00E86E83"/>
    <w:rsid w:val="00E933AA"/>
    <w:rsid w:val="00E97345"/>
    <w:rsid w:val="00EB6475"/>
    <w:rsid w:val="00EB7BD0"/>
    <w:rsid w:val="00EE1858"/>
    <w:rsid w:val="00F15800"/>
    <w:rsid w:val="00F23370"/>
    <w:rsid w:val="00F372F0"/>
    <w:rsid w:val="00F378F3"/>
    <w:rsid w:val="00F41B5A"/>
    <w:rsid w:val="00F45F1A"/>
    <w:rsid w:val="00F57195"/>
    <w:rsid w:val="00F70324"/>
    <w:rsid w:val="00F872A5"/>
    <w:rsid w:val="00F922DB"/>
    <w:rsid w:val="00F946C1"/>
    <w:rsid w:val="00FA66AA"/>
    <w:rsid w:val="00FA6FC1"/>
    <w:rsid w:val="00FB364E"/>
    <w:rsid w:val="00FC15E2"/>
    <w:rsid w:val="00FC1900"/>
    <w:rsid w:val="00FE5088"/>
    <w:rsid w:val="00FF2E80"/>
    <w:rsid w:val="0DCEC82A"/>
    <w:rsid w:val="48968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4cfa7f33da0d23b89259ae0a2136c9a3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568bb129fc369ccd9844b2bc87aa10cb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C38B1-14E7-4678-8F01-BB1A3B040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1B34C-3A2A-4E8C-B05E-221850024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5DE5B-F6AD-4B72-A174-EF0FEE9510FA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2158</Words>
  <Characters>12650</Characters>
  <Application>Microsoft Office Word</Application>
  <DocSecurity>0</DocSecurity>
  <Lines>243</Lines>
  <Paragraphs>119</Paragraphs>
  <ScaleCrop>false</ScaleCrop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2026-03-13T09:07:00Z</dcterms:created>
  <dcterms:modified xsi:type="dcterms:W3CDTF">2026-03-13T09:07:00Z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