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E" w:rsidRDefault="007A082E" w:rsidP="007A082E">
      <w:pPr>
        <w:pStyle w:val="Zhlav"/>
        <w:jc w:val="center"/>
      </w:pPr>
      <w:r>
        <w:rPr>
          <w:rFonts w:ascii="Arial" w:hAnsi="Arial" w:cs="Arial"/>
          <w:b/>
          <w:sz w:val="28"/>
          <w:szCs w:val="28"/>
        </w:rPr>
        <w:t>Smlouva o poskytování pozáručního servisu</w:t>
      </w:r>
    </w:p>
    <w:p w:rsidR="007A082E" w:rsidRDefault="007A082E" w:rsidP="007A082E">
      <w:pPr>
        <w:pStyle w:val="Vchoz"/>
        <w:jc w:val="center"/>
      </w:pPr>
    </w:p>
    <w:p w:rsidR="007A082E" w:rsidRDefault="007A082E" w:rsidP="007A082E">
      <w:pPr>
        <w:pStyle w:val="Vchoz"/>
        <w:jc w:val="center"/>
      </w:pPr>
      <w:r>
        <w:rPr>
          <w:rFonts w:ascii="Arial" w:hAnsi="Arial" w:cs="Arial"/>
          <w:sz w:val="20"/>
          <w:szCs w:val="20"/>
        </w:rPr>
        <w:t xml:space="preserve">podle § 1746 </w:t>
      </w:r>
      <w:proofErr w:type="gramStart"/>
      <w:r>
        <w:rPr>
          <w:rFonts w:ascii="Arial" w:hAnsi="Arial" w:cs="Arial"/>
          <w:sz w:val="20"/>
          <w:szCs w:val="20"/>
        </w:rPr>
        <w:t>odst.2. a násl.</w:t>
      </w:r>
      <w:proofErr w:type="gramEnd"/>
      <w:r>
        <w:rPr>
          <w:rFonts w:ascii="Arial" w:hAnsi="Arial" w:cs="Arial"/>
          <w:sz w:val="20"/>
          <w:szCs w:val="20"/>
        </w:rPr>
        <w:t xml:space="preserve"> zákona č. 89/2012 Sb., občanského zákoníku, v platném znění</w:t>
      </w: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7A082E" w:rsidRDefault="007A082E" w:rsidP="007A082E">
      <w:pPr>
        <w:pStyle w:val="Vchoz"/>
        <w:tabs>
          <w:tab w:val="left" w:pos="2880"/>
          <w:tab w:val="left" w:pos="3420"/>
          <w:tab w:val="left" w:pos="5040"/>
          <w:tab w:val="center" w:pos="7056"/>
          <w:tab w:val="right" w:pos="11592"/>
        </w:tabs>
        <w:ind w:left="2520"/>
      </w:pPr>
      <w:r>
        <w:rPr>
          <w:rFonts w:ascii="Arial" w:hAnsi="Arial" w:cs="Arial"/>
          <w:sz w:val="20"/>
          <w:szCs w:val="20"/>
        </w:rPr>
        <w:t xml:space="preserve"> </w:t>
      </w:r>
    </w:p>
    <w:p w:rsidR="007A082E" w:rsidRDefault="007A082E" w:rsidP="007A082E">
      <w:pPr>
        <w:pStyle w:val="Vchoz"/>
        <w:ind w:left="360"/>
        <w:jc w:val="center"/>
      </w:pPr>
      <w:r>
        <w:rPr>
          <w:rFonts w:ascii="Arial" w:hAnsi="Arial" w:cs="Arial"/>
          <w:sz w:val="20"/>
          <w:szCs w:val="20"/>
        </w:rPr>
        <w:t>Níže uvedeného dne, měsíce a roku se dohodli, dle svého prohlášení svéprávní k právnímu jednání, a to:</w:t>
      </w:r>
    </w:p>
    <w:p w:rsidR="007A082E" w:rsidRDefault="007A082E" w:rsidP="007A082E">
      <w:pPr>
        <w:pStyle w:val="Vchoz"/>
        <w:tabs>
          <w:tab w:val="left" w:pos="2880"/>
          <w:tab w:val="left" w:pos="3420"/>
          <w:tab w:val="left" w:pos="5040"/>
          <w:tab w:val="center" w:pos="7056"/>
          <w:tab w:val="right" w:pos="11592"/>
        </w:tabs>
        <w:ind w:left="2520"/>
      </w:pPr>
    </w:p>
    <w:p w:rsidR="007A082E" w:rsidRDefault="007A082E" w:rsidP="007A082E">
      <w:pPr>
        <w:pStyle w:val="Vchoz"/>
      </w:pPr>
    </w:p>
    <w:p w:rsidR="00BD6C35" w:rsidRPr="00BD6C35" w:rsidRDefault="007A082E" w:rsidP="007A082E">
      <w:pPr>
        <w:pStyle w:val="Vchoz"/>
        <w:numPr>
          <w:ilvl w:val="0"/>
          <w:numId w:val="3"/>
        </w:numPr>
        <w:tabs>
          <w:tab w:val="left" w:pos="360"/>
          <w:tab w:val="left" w:pos="2520"/>
          <w:tab w:val="center" w:pos="4536"/>
          <w:tab w:val="right" w:pos="9072"/>
        </w:tabs>
      </w:pPr>
      <w:r>
        <w:rPr>
          <w:rFonts w:ascii="Arial" w:hAnsi="Arial" w:cs="Arial"/>
          <w:b/>
          <w:sz w:val="20"/>
          <w:szCs w:val="20"/>
        </w:rPr>
        <w:t>Dodavatel:</w:t>
      </w:r>
    </w:p>
    <w:p w:rsidR="00BD6C35" w:rsidRPr="00BD6C35" w:rsidRDefault="00BD6C35" w:rsidP="00BD6C35">
      <w:pPr>
        <w:pStyle w:val="Vchoz"/>
        <w:tabs>
          <w:tab w:val="left" w:pos="360"/>
          <w:tab w:val="left" w:pos="2520"/>
          <w:tab w:val="center" w:pos="4536"/>
          <w:tab w:val="right" w:pos="9072"/>
        </w:tabs>
      </w:pPr>
      <w:r>
        <w:rPr>
          <w:rFonts w:ascii="Arial" w:hAnsi="Arial" w:cs="Arial"/>
          <w:sz w:val="20"/>
          <w:szCs w:val="20"/>
        </w:rPr>
        <w:t>Údaje o zápisu v OŘ či v jiné evidenci:</w:t>
      </w:r>
      <w:r>
        <w:rPr>
          <w:rFonts w:ascii="Arial" w:hAnsi="Arial" w:cs="Arial"/>
          <w:sz w:val="20"/>
          <w:szCs w:val="20"/>
        </w:rPr>
        <w:tab/>
      </w:r>
      <w:r w:rsidRPr="00BD6C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7A082E" w:rsidP="007A082E">
      <w:pPr>
        <w:pStyle w:val="Vchoz"/>
        <w:tabs>
          <w:tab w:val="left" w:pos="360"/>
          <w:tab w:val="left" w:pos="2520"/>
          <w:tab w:val="center" w:pos="4536"/>
          <w:tab w:val="right" w:pos="9072"/>
        </w:tabs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5035">
        <w:rPr>
          <w:rFonts w:ascii="Arial" w:hAnsi="Arial" w:cs="Arial"/>
          <w:sz w:val="20"/>
          <w:szCs w:val="20"/>
        </w:rPr>
        <w:tab/>
      </w:r>
      <w:r w:rsidR="00E05035" w:rsidRPr="00E050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7A082E" w:rsidP="007A082E">
      <w:pPr>
        <w:pStyle w:val="Vchoz"/>
        <w:tabs>
          <w:tab w:val="left" w:pos="2880"/>
          <w:tab w:val="left" w:pos="3420"/>
          <w:tab w:val="left" w:pos="5040"/>
          <w:tab w:val="center" w:pos="7056"/>
          <w:tab w:val="right" w:pos="11592"/>
        </w:tabs>
        <w:ind w:left="2520" w:hanging="2520"/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 w:rsidR="00E05035">
        <w:rPr>
          <w:rFonts w:ascii="Arial" w:hAnsi="Arial" w:cs="Arial"/>
          <w:sz w:val="20"/>
          <w:szCs w:val="20"/>
        </w:rPr>
        <w:tab/>
      </w:r>
      <w:r w:rsidR="00E05035">
        <w:rPr>
          <w:rFonts w:ascii="Arial" w:hAnsi="Arial" w:cs="Arial"/>
          <w:sz w:val="20"/>
          <w:szCs w:val="20"/>
        </w:rPr>
        <w:tab/>
        <w:t xml:space="preserve">                  </w:t>
      </w:r>
      <w:r w:rsidR="00E05035" w:rsidRPr="00E050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E05035" w:rsidP="007A082E">
      <w:pPr>
        <w:pStyle w:val="Vchoz"/>
        <w:tabs>
          <w:tab w:val="left" w:pos="2880"/>
          <w:tab w:val="left" w:pos="3420"/>
          <w:tab w:val="left" w:pos="5040"/>
          <w:tab w:val="center" w:pos="7056"/>
          <w:tab w:val="right" w:pos="11592"/>
        </w:tabs>
        <w:ind w:left="2520" w:hanging="2520"/>
      </w:pPr>
      <w:r>
        <w:rPr>
          <w:rFonts w:ascii="Arial" w:hAnsi="Arial" w:cs="Arial"/>
          <w:sz w:val="20"/>
          <w:szCs w:val="20"/>
        </w:rPr>
        <w:t xml:space="preserve">IČO: </w:t>
      </w:r>
      <w:r w:rsidR="007A08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E050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7A082E" w:rsidP="007A082E">
      <w:pPr>
        <w:pStyle w:val="Vchoz"/>
        <w:tabs>
          <w:tab w:val="left" w:pos="360"/>
          <w:tab w:val="left" w:pos="900"/>
          <w:tab w:val="left" w:pos="1620"/>
          <w:tab w:val="left" w:pos="2520"/>
          <w:tab w:val="center" w:pos="4536"/>
          <w:tab w:val="right" w:pos="9072"/>
        </w:tabs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0C44">
        <w:rPr>
          <w:rFonts w:ascii="Arial" w:hAnsi="Arial" w:cs="Arial"/>
          <w:sz w:val="20"/>
          <w:szCs w:val="20"/>
        </w:rPr>
        <w:tab/>
      </w:r>
      <w:r w:rsidR="00E05035">
        <w:rPr>
          <w:rFonts w:ascii="Arial" w:hAnsi="Arial" w:cs="Arial"/>
          <w:sz w:val="20"/>
          <w:szCs w:val="20"/>
        </w:rPr>
        <w:tab/>
      </w:r>
      <w:r w:rsidR="00E05035" w:rsidRPr="00E050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7A082E" w:rsidP="007A082E">
      <w:pPr>
        <w:pStyle w:val="Vchoz"/>
        <w:tabs>
          <w:tab w:val="left" w:pos="1980"/>
          <w:tab w:val="left" w:pos="2520"/>
          <w:tab w:val="left" w:pos="3240"/>
          <w:tab w:val="left" w:pos="4140"/>
          <w:tab w:val="center" w:pos="6156"/>
          <w:tab w:val="right" w:pos="10692"/>
        </w:tabs>
        <w:ind w:left="1620" w:hanging="1620"/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F50C44">
        <w:rPr>
          <w:rFonts w:ascii="Arial" w:hAnsi="Arial" w:cs="Arial"/>
          <w:sz w:val="20"/>
          <w:szCs w:val="20"/>
        </w:rPr>
        <w:tab/>
      </w:r>
      <w:r w:rsidR="00E05035">
        <w:rPr>
          <w:rFonts w:ascii="Arial" w:hAnsi="Arial" w:cs="Arial"/>
          <w:sz w:val="20"/>
          <w:szCs w:val="20"/>
        </w:rPr>
        <w:tab/>
      </w:r>
      <w:r w:rsidR="00E05035">
        <w:rPr>
          <w:rFonts w:ascii="Arial" w:hAnsi="Arial" w:cs="Arial"/>
          <w:sz w:val="20"/>
          <w:szCs w:val="20"/>
        </w:rPr>
        <w:tab/>
        <w:t xml:space="preserve">     </w:t>
      </w:r>
      <w:r w:rsidR="00E05035" w:rsidRPr="00E050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7A082E" w:rsidP="007A082E">
      <w:pPr>
        <w:pStyle w:val="Vchoz"/>
        <w:tabs>
          <w:tab w:val="left" w:pos="360"/>
          <w:tab w:val="left" w:pos="900"/>
          <w:tab w:val="left" w:pos="2520"/>
          <w:tab w:val="center" w:pos="4536"/>
          <w:tab w:val="right" w:pos="9072"/>
        </w:tabs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E05035">
        <w:rPr>
          <w:rFonts w:ascii="Arial" w:hAnsi="Arial" w:cs="Arial"/>
          <w:sz w:val="20"/>
          <w:szCs w:val="20"/>
        </w:rPr>
        <w:tab/>
      </w:r>
      <w:r w:rsidR="00E05035" w:rsidRPr="00E050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7A082E" w:rsidP="007A082E">
      <w:pPr>
        <w:pStyle w:val="Vchoz"/>
        <w:tabs>
          <w:tab w:val="left" w:pos="360"/>
          <w:tab w:val="left" w:pos="900"/>
          <w:tab w:val="left" w:pos="2520"/>
          <w:tab w:val="center" w:pos="4536"/>
          <w:tab w:val="right" w:pos="9072"/>
        </w:tabs>
      </w:pPr>
      <w:r>
        <w:rPr>
          <w:rFonts w:ascii="Arial" w:hAnsi="Arial" w:cs="Arial"/>
          <w:sz w:val="20"/>
          <w:szCs w:val="20"/>
        </w:rPr>
        <w:t>Zmocnění:</w:t>
      </w:r>
      <w:r w:rsidR="00E050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5035" w:rsidRPr="00E05035">
        <w:rPr>
          <w:rFonts w:ascii="Arial" w:hAnsi="Arial" w:cs="Arial"/>
          <w:sz w:val="20"/>
          <w:szCs w:val="20"/>
          <w:highlight w:val="yellow"/>
        </w:rPr>
        <w:t>***</w:t>
      </w: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  <w:r>
        <w:rPr>
          <w:rFonts w:ascii="Arial" w:hAnsi="Arial" w:cs="Arial"/>
          <w:sz w:val="20"/>
          <w:szCs w:val="20"/>
        </w:rPr>
        <w:t>(dále jen „Dodavatel“) a</w:t>
      </w: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numPr>
          <w:ilvl w:val="0"/>
          <w:numId w:val="3"/>
        </w:numPr>
        <w:tabs>
          <w:tab w:val="left" w:pos="360"/>
          <w:tab w:val="left" w:pos="2520"/>
          <w:tab w:val="center" w:pos="4536"/>
          <w:tab w:val="right" w:pos="9072"/>
        </w:tabs>
      </w:pPr>
      <w:r>
        <w:rPr>
          <w:rFonts w:ascii="Arial" w:hAnsi="Arial" w:cs="Arial"/>
          <w:b/>
          <w:sz w:val="20"/>
          <w:szCs w:val="20"/>
        </w:rPr>
        <w:t>Objednatel:</w:t>
      </w:r>
      <w:r>
        <w:rPr>
          <w:rFonts w:ascii="Arial" w:hAnsi="Arial" w:cs="Arial"/>
          <w:b/>
          <w:sz w:val="20"/>
          <w:szCs w:val="20"/>
        </w:rPr>
        <w:tab/>
        <w:t>Nemocnice TGM Hodonín, příspěvková organizace</w:t>
      </w:r>
    </w:p>
    <w:p w:rsidR="007A082E" w:rsidRDefault="007A082E" w:rsidP="007A082E">
      <w:pPr>
        <w:pStyle w:val="Vchoz"/>
        <w:tabs>
          <w:tab w:val="left" w:pos="2880"/>
          <w:tab w:val="left" w:pos="5040"/>
          <w:tab w:val="center" w:pos="7056"/>
          <w:tab w:val="right" w:pos="11592"/>
        </w:tabs>
        <w:ind w:left="2520" w:hanging="2520"/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C21C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Purkyňova 11, 695 26 Hodonín</w:t>
      </w:r>
    </w:p>
    <w:p w:rsidR="007A082E" w:rsidRDefault="007A082E" w:rsidP="007A082E">
      <w:pPr>
        <w:pStyle w:val="Vchoz"/>
        <w:tabs>
          <w:tab w:val="left" w:pos="2880"/>
          <w:tab w:val="left" w:pos="3420"/>
          <w:tab w:val="left" w:pos="5040"/>
          <w:tab w:val="center" w:pos="7056"/>
          <w:tab w:val="right" w:pos="11592"/>
        </w:tabs>
        <w:ind w:left="2520" w:hanging="2520"/>
      </w:pPr>
      <w:r>
        <w:rPr>
          <w:rFonts w:ascii="Arial" w:hAnsi="Arial" w:cs="Arial"/>
          <w:sz w:val="20"/>
          <w:szCs w:val="20"/>
        </w:rPr>
        <w:t>Právní forma:</w:t>
      </w:r>
      <w:r>
        <w:rPr>
          <w:rFonts w:ascii="Arial" w:hAnsi="Arial" w:cs="Arial"/>
          <w:sz w:val="20"/>
          <w:szCs w:val="20"/>
        </w:rPr>
        <w:tab/>
        <w:t>Příspěvková organizace</w:t>
      </w:r>
    </w:p>
    <w:p w:rsidR="007A082E" w:rsidRDefault="007A082E" w:rsidP="007A082E">
      <w:pPr>
        <w:pStyle w:val="Vchoz"/>
        <w:tabs>
          <w:tab w:val="left" w:pos="2880"/>
          <w:tab w:val="left" w:pos="3420"/>
          <w:tab w:val="left" w:pos="5040"/>
          <w:tab w:val="center" w:pos="7056"/>
          <w:tab w:val="right" w:pos="11592"/>
        </w:tabs>
        <w:ind w:left="2520" w:hanging="2520"/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>MUDr. Věrou Dostálovou, ředitelkou</w:t>
      </w:r>
    </w:p>
    <w:p w:rsidR="007A082E" w:rsidRDefault="00C21C51" w:rsidP="007A082E">
      <w:pPr>
        <w:pStyle w:val="Vchoz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82E">
        <w:rPr>
          <w:rFonts w:ascii="Arial" w:hAnsi="Arial" w:cs="Arial"/>
          <w:sz w:val="20"/>
          <w:szCs w:val="20"/>
        </w:rPr>
        <w:t>00226637</w:t>
      </w:r>
    </w:p>
    <w:p w:rsidR="00C21C51" w:rsidRDefault="00C21C51" w:rsidP="007A082E">
      <w:pPr>
        <w:pStyle w:val="Vchoz"/>
        <w:ind w:left="2552" w:hanging="2552"/>
        <w:jc w:val="both"/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>KB a.s. Hodonín</w:t>
      </w:r>
    </w:p>
    <w:p w:rsidR="007A082E" w:rsidRDefault="007A082E" w:rsidP="007A082E">
      <w:pPr>
        <w:pStyle w:val="Vchoz"/>
        <w:tabs>
          <w:tab w:val="left" w:pos="2912"/>
          <w:tab w:val="left" w:pos="3452"/>
          <w:tab w:val="left" w:pos="3812"/>
          <w:tab w:val="left" w:pos="4172"/>
          <w:tab w:val="center" w:pos="7088"/>
          <w:tab w:val="right" w:pos="11624"/>
        </w:tabs>
        <w:ind w:left="2552" w:hanging="2552"/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  <w:t>86-2441440297/0100</w:t>
      </w:r>
    </w:p>
    <w:p w:rsidR="007A082E" w:rsidRDefault="007A082E" w:rsidP="007A082E">
      <w:pPr>
        <w:pStyle w:val="Vchoz"/>
        <w:tabs>
          <w:tab w:val="left" w:pos="5040"/>
          <w:tab w:val="left" w:pos="5580"/>
          <w:tab w:val="left" w:pos="5940"/>
          <w:tab w:val="left" w:pos="6300"/>
          <w:tab w:val="center" w:pos="9216"/>
          <w:tab w:val="right" w:pos="13752"/>
        </w:tabs>
        <w:ind w:left="4680" w:hanging="4680"/>
      </w:pPr>
    </w:p>
    <w:p w:rsidR="007A082E" w:rsidRDefault="007A082E" w:rsidP="007A082E">
      <w:pPr>
        <w:pStyle w:val="Vchoz"/>
        <w:jc w:val="both"/>
      </w:pPr>
      <w:r>
        <w:rPr>
          <w:rFonts w:ascii="Arial" w:hAnsi="Arial" w:cs="Arial"/>
          <w:sz w:val="20"/>
          <w:szCs w:val="20"/>
        </w:rPr>
        <w:t>(dále jen „objednatel“)</w:t>
      </w:r>
    </w:p>
    <w:p w:rsidR="007A082E" w:rsidRDefault="007A082E" w:rsidP="007A082E">
      <w:pPr>
        <w:pStyle w:val="Vchoz"/>
        <w:tabs>
          <w:tab w:val="left" w:pos="5040"/>
          <w:tab w:val="left" w:pos="5580"/>
          <w:tab w:val="left" w:pos="5940"/>
          <w:tab w:val="left" w:pos="6300"/>
          <w:tab w:val="center" w:pos="9216"/>
          <w:tab w:val="right" w:pos="13752"/>
        </w:tabs>
        <w:ind w:left="4680" w:hanging="4680"/>
      </w:pP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ind w:left="720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bookmarkStart w:id="0" w:name="__DdeLink__338_2093405443"/>
      <w:r>
        <w:rPr>
          <w:rFonts w:ascii="Arial" w:hAnsi="Arial" w:cs="Arial"/>
          <w:sz w:val="20"/>
          <w:szCs w:val="20"/>
        </w:rPr>
        <w:t>Dodavatel</w:t>
      </w:r>
      <w:bookmarkEnd w:id="0"/>
      <w:r>
        <w:rPr>
          <w:rFonts w:ascii="Arial" w:hAnsi="Arial" w:cs="Arial"/>
          <w:sz w:val="20"/>
          <w:szCs w:val="20"/>
        </w:rPr>
        <w:t xml:space="preserve"> se zavazuje, že pro objednatele bude poskytovat služby, případně dodávky, spočívající v poskytování pozáručního „full“ servisu CT přístroje (dále jen „přístroje“) pořízeného na základě kupní smlouvy ze dne </w:t>
      </w:r>
      <w:r w:rsidR="008342A2">
        <w:fldChar w:fldCharType="begin"/>
      </w:r>
      <w:r w:rsidR="008342A2">
        <w:instrText>FILLIN ""</w:instrText>
      </w:r>
      <w:r w:rsidR="008342A2">
        <w:fldChar w:fldCharType="separate"/>
      </w:r>
      <w:r>
        <w:t xml:space="preserve">[bude </w:t>
      </w:r>
      <w:r w:rsidRPr="00CF090F">
        <w:rPr>
          <w:rFonts w:ascii="Arial" w:hAnsi="Arial" w:cs="Arial"/>
          <w:sz w:val="20"/>
          <w:szCs w:val="20"/>
        </w:rPr>
        <w:t>doplněno</w:t>
      </w:r>
      <w:r>
        <w:t xml:space="preserve"> před uzavřením smlouvy]</w:t>
      </w:r>
      <w:r w:rsidR="008342A2">
        <w:fldChar w:fldCharType="end"/>
      </w:r>
      <w:r>
        <w:rPr>
          <w:rFonts w:ascii="Arial" w:hAnsi="Arial" w:cs="Arial"/>
          <w:sz w:val="20"/>
          <w:szCs w:val="20"/>
        </w:rPr>
        <w:t xml:space="preserve"> 2017.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Pozáručním servisem se pro účely této smlouvy rozumí provádění servisu a revizí dle hlavy IX zákona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č. 268/2014 Sb., o zdravotnických prostředcích, ve znění pozdějších předpisů (dále jen „zákon o ZP“). 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color w:val="000000"/>
          <w:sz w:val="20"/>
          <w:szCs w:val="20"/>
        </w:rPr>
        <w:t>Pozáruční servis mimo jiné obsahuje tyto činnosti:</w:t>
      </w:r>
    </w:p>
    <w:p w:rsidR="007A082E" w:rsidRDefault="007A082E" w:rsidP="007A082E">
      <w:pPr>
        <w:pStyle w:val="Vchoz"/>
        <w:numPr>
          <w:ilvl w:val="0"/>
          <w:numId w:val="2"/>
        </w:numPr>
        <w:ind w:left="993" w:hanging="426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pravidelné bezpečnostně technické kontroly</w:t>
      </w:r>
      <w:r>
        <w:rPr>
          <w:rFonts w:ascii="Arial" w:hAnsi="Arial" w:cs="Arial"/>
          <w:color w:val="000000"/>
          <w:sz w:val="20"/>
          <w:szCs w:val="20"/>
        </w:rPr>
        <w:t xml:space="preserve"> (dále jen „BTK“) dle § 65 zákona o ZP, </w:t>
      </w:r>
    </w:p>
    <w:p w:rsidR="007A082E" w:rsidRDefault="007A082E" w:rsidP="007A082E">
      <w:pPr>
        <w:pStyle w:val="Vchoz"/>
        <w:numPr>
          <w:ilvl w:val="0"/>
          <w:numId w:val="2"/>
        </w:numPr>
        <w:tabs>
          <w:tab w:val="left" w:pos="1986"/>
        </w:tabs>
        <w:ind w:left="993" w:hanging="426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 xml:space="preserve">opravy </w:t>
      </w:r>
      <w:r>
        <w:rPr>
          <w:rFonts w:ascii="Arial" w:hAnsi="Arial" w:cs="Arial"/>
          <w:color w:val="000000"/>
          <w:sz w:val="20"/>
          <w:szCs w:val="20"/>
        </w:rPr>
        <w:t>dle § 66 zákona o ZP</w:t>
      </w:r>
    </w:p>
    <w:p w:rsidR="007A082E" w:rsidRDefault="007A082E" w:rsidP="007A082E">
      <w:pPr>
        <w:pStyle w:val="Vchoz"/>
        <w:numPr>
          <w:ilvl w:val="0"/>
          <w:numId w:val="2"/>
        </w:numPr>
        <w:tabs>
          <w:tab w:val="left" w:pos="1986"/>
        </w:tabs>
        <w:ind w:left="993" w:hanging="426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revize</w:t>
      </w:r>
      <w:r>
        <w:rPr>
          <w:rFonts w:ascii="Arial" w:hAnsi="Arial" w:cs="Arial"/>
          <w:color w:val="000000"/>
          <w:sz w:val="20"/>
          <w:szCs w:val="20"/>
        </w:rPr>
        <w:t xml:space="preserve"> dle § 67 zákona o ZP</w:t>
      </w:r>
    </w:p>
    <w:p w:rsidR="007A082E" w:rsidRDefault="007A082E" w:rsidP="007A082E">
      <w:pPr>
        <w:pStyle w:val="Vchoz"/>
        <w:numPr>
          <w:ilvl w:val="0"/>
          <w:numId w:val="2"/>
        </w:numPr>
        <w:tabs>
          <w:tab w:val="left" w:pos="1986"/>
        </w:tabs>
        <w:ind w:left="993" w:hanging="426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poskytování komplexní servisní podpory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50C44">
        <w:rPr>
          <w:rFonts w:ascii="Arial" w:hAnsi="Arial" w:cs="Arial"/>
          <w:color w:val="000000"/>
          <w:sz w:val="20"/>
          <w:szCs w:val="20"/>
        </w:rPr>
        <w:t>(„full“ servis)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spacing w:before="60"/>
        <w:ind w:left="567" w:hanging="425"/>
        <w:jc w:val="both"/>
      </w:pPr>
      <w:r>
        <w:rPr>
          <w:rFonts w:ascii="Arial" w:hAnsi="Arial" w:cs="Arial"/>
          <w:sz w:val="20"/>
          <w:szCs w:val="20"/>
        </w:rPr>
        <w:t>BTK budou prováděny ve lhůtách a kvalitě dle pokynů a návodu výrobce. Dodavatel je povinen sledovat lhůty pro provádění BTK a upozornit Objednatele nejméně 30 dnů předem na nutnost jejího provedení.</w:t>
      </w:r>
    </w:p>
    <w:p w:rsidR="007A082E" w:rsidRDefault="007A082E" w:rsidP="007A082E">
      <w:pPr>
        <w:pStyle w:val="Odstavecseseznamem"/>
        <w:spacing w:before="60"/>
        <w:ind w:left="0"/>
        <w:jc w:val="both"/>
      </w:pPr>
    </w:p>
    <w:p w:rsidR="007A082E" w:rsidRDefault="007A082E" w:rsidP="007A082E">
      <w:pPr>
        <w:pStyle w:val="Odstavecseseznamem"/>
        <w:numPr>
          <w:ilvl w:val="0"/>
          <w:numId w:val="1"/>
        </w:numPr>
        <w:spacing w:before="60"/>
        <w:ind w:left="567" w:hanging="425"/>
        <w:jc w:val="both"/>
      </w:pPr>
      <w:r>
        <w:rPr>
          <w:rFonts w:ascii="Arial" w:hAnsi="Arial" w:cs="Arial"/>
          <w:sz w:val="20"/>
          <w:szCs w:val="20"/>
        </w:rPr>
        <w:lastRenderedPageBreak/>
        <w:t>Opravy bude Dodavatel provádět na základě dílčích objednávek objednatele, a to písemných, nebo zaslaných prostřednictvím emailu nebo poštovní datové zprávy. Dodavatel je povinen provést opravy nahlášené objednatelem v těchto termínech:</w:t>
      </w:r>
    </w:p>
    <w:p w:rsidR="007A082E" w:rsidRDefault="007A082E" w:rsidP="007A082E">
      <w:pPr>
        <w:pStyle w:val="Vchoz"/>
        <w:numPr>
          <w:ilvl w:val="0"/>
          <w:numId w:val="6"/>
        </w:numPr>
        <w:spacing w:after="160" w:line="259" w:lineRule="atLeast"/>
        <w:jc w:val="both"/>
      </w:pPr>
      <w:r>
        <w:rPr>
          <w:rFonts w:ascii="Arial" w:hAnsi="Arial" w:cs="Arial"/>
          <w:sz w:val="20"/>
          <w:szCs w:val="20"/>
        </w:rPr>
        <w:t xml:space="preserve">nástup na opravu bude uskutečněn nejpozději do 24 hodin od nahlášení poruchy (závady či chyby). V případě, že v následujících 24 hodinách, po termínu, kdy byla nahlášena porucha </w:t>
      </w:r>
      <w:proofErr w:type="gramStart"/>
      <w:r>
        <w:rPr>
          <w:rFonts w:ascii="Arial" w:hAnsi="Arial" w:cs="Arial"/>
          <w:sz w:val="20"/>
          <w:szCs w:val="20"/>
        </w:rPr>
        <w:t>je</w:t>
      </w:r>
      <w:proofErr w:type="gramEnd"/>
      <w:r>
        <w:rPr>
          <w:rFonts w:ascii="Arial" w:hAnsi="Arial" w:cs="Arial"/>
          <w:sz w:val="20"/>
          <w:szCs w:val="20"/>
        </w:rPr>
        <w:t xml:space="preserve"> den pracovního klidu, bude nástup na opravu uskutečněn nejpozději do 9:00 hod. nejbližšího pracovního dne. Přičemž pracovními dny pro účely této smlouvy jsou všechny dny v týdnu od pondělí do pátku v době od 7:00 do 17:00 hod. mimo dny pracovního klidu (státní svátky platné pro Českou republiku v příslušném roce). Za nástup na opravu se považuje i diagnostika poruchy (závady či chyby) pomocí vzdáleného přístupu,</w:t>
      </w:r>
    </w:p>
    <w:p w:rsidR="007A082E" w:rsidRDefault="007A082E" w:rsidP="007A082E">
      <w:pPr>
        <w:pStyle w:val="Vchoz"/>
        <w:numPr>
          <w:ilvl w:val="0"/>
          <w:numId w:val="6"/>
        </w:numPr>
        <w:spacing w:after="160" w:line="259" w:lineRule="atLeast"/>
        <w:jc w:val="both"/>
      </w:pPr>
      <w:r>
        <w:rPr>
          <w:rFonts w:ascii="Arial" w:hAnsi="Arial" w:cs="Arial"/>
          <w:sz w:val="20"/>
          <w:szCs w:val="20"/>
        </w:rPr>
        <w:t>oprava bude provedena nejpozději do 72 hodin od nahlášení poruchy, případně v jiné lhůtě dohodnuté s objednatelem v konkrétním případě</w:t>
      </w:r>
    </w:p>
    <w:p w:rsidR="007A082E" w:rsidRDefault="007A082E" w:rsidP="007A082E">
      <w:pPr>
        <w:pStyle w:val="Vchoz"/>
        <w:numPr>
          <w:ilvl w:val="0"/>
          <w:numId w:val="6"/>
        </w:numPr>
        <w:spacing w:after="160" w:line="259" w:lineRule="atLeast"/>
        <w:jc w:val="both"/>
      </w:pPr>
      <w:r>
        <w:rPr>
          <w:rFonts w:ascii="Arial" w:hAnsi="Arial" w:cs="Arial"/>
          <w:sz w:val="20"/>
          <w:szCs w:val="20"/>
        </w:rPr>
        <w:t xml:space="preserve">v případě, že bude Dodavatel v prodlení s nástupem na odstranění nahlášených vad dle článku 5 písm. a) této smlouvy, je povinen zaplatit objednateli smluvní pokutu ve výši </w:t>
      </w:r>
      <w:r>
        <w:rPr>
          <w:rFonts w:ascii="Arial" w:hAnsi="Arial" w:cs="Arial"/>
          <w:b/>
          <w:bCs/>
          <w:sz w:val="20"/>
          <w:szCs w:val="20"/>
        </w:rPr>
        <w:t>30 tis. Kč/den</w:t>
      </w:r>
      <w:r>
        <w:rPr>
          <w:rFonts w:ascii="Arial" w:hAnsi="Arial" w:cs="Arial"/>
          <w:bCs/>
          <w:sz w:val="20"/>
          <w:szCs w:val="20"/>
        </w:rPr>
        <w:t>, v případě že je přístroj plně nefunkční</w:t>
      </w:r>
      <w:r>
        <w:rPr>
          <w:rFonts w:ascii="Arial" w:hAnsi="Arial" w:cs="Arial"/>
          <w:b/>
          <w:bCs/>
          <w:sz w:val="20"/>
          <w:szCs w:val="20"/>
        </w:rPr>
        <w:t xml:space="preserve"> a 5 tis. Kč/den </w:t>
      </w:r>
      <w:r>
        <w:rPr>
          <w:rFonts w:ascii="Arial" w:hAnsi="Arial" w:cs="Arial"/>
          <w:bCs/>
          <w:sz w:val="20"/>
          <w:szCs w:val="20"/>
        </w:rPr>
        <w:t>v případě, že je přístroj funkční v omezeném provozu</w:t>
      </w:r>
      <w:r>
        <w:rPr>
          <w:rFonts w:ascii="Arial" w:hAnsi="Arial" w:cs="Arial"/>
          <w:sz w:val="20"/>
          <w:szCs w:val="20"/>
        </w:rPr>
        <w:t xml:space="preserve">. V případě, že bude Dodavatel v prodlení s termínem odstranění reklamovaných vad dle článku 5 b) této smlouvy, je povinen zaplatit objednateli smluvní pokutu ve výši </w:t>
      </w:r>
      <w:r>
        <w:rPr>
          <w:rFonts w:ascii="Arial" w:hAnsi="Arial" w:cs="Arial"/>
          <w:b/>
          <w:sz w:val="20"/>
          <w:szCs w:val="20"/>
        </w:rPr>
        <w:t>30 tis. Kč/den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v případě že je přístroj plně nefunkční a</w:t>
      </w:r>
      <w:r>
        <w:rPr>
          <w:rFonts w:ascii="Arial" w:hAnsi="Arial" w:cs="Arial"/>
          <w:b/>
          <w:bCs/>
          <w:sz w:val="20"/>
          <w:szCs w:val="20"/>
        </w:rPr>
        <w:t xml:space="preserve"> 5 tis. Kč/den </w:t>
      </w:r>
      <w:r>
        <w:rPr>
          <w:rFonts w:ascii="Arial" w:hAnsi="Arial" w:cs="Arial"/>
          <w:bCs/>
          <w:sz w:val="20"/>
          <w:szCs w:val="20"/>
        </w:rPr>
        <w:t>v případě, že je přístroj funkční v omezeném provozu</w:t>
      </w:r>
      <w:r>
        <w:rPr>
          <w:rFonts w:ascii="Arial" w:hAnsi="Arial" w:cs="Arial"/>
          <w:sz w:val="20"/>
          <w:szCs w:val="20"/>
        </w:rPr>
        <w:t>.</w:t>
      </w:r>
    </w:p>
    <w:p w:rsidR="007A082E" w:rsidRDefault="007A082E" w:rsidP="007A082E">
      <w:pPr>
        <w:pStyle w:val="Odstavecseseznamem"/>
        <w:numPr>
          <w:ilvl w:val="0"/>
          <w:numId w:val="1"/>
        </w:numPr>
        <w:spacing w:before="60"/>
        <w:ind w:left="567" w:hanging="425"/>
        <w:jc w:val="both"/>
      </w:pPr>
      <w:r>
        <w:rPr>
          <w:rFonts w:ascii="Arial" w:hAnsi="Arial" w:cs="Arial"/>
          <w:sz w:val="20"/>
          <w:szCs w:val="20"/>
        </w:rPr>
        <w:t>Pozáruční servis bude zahrnovat:</w:t>
      </w:r>
    </w:p>
    <w:p w:rsidR="007A082E" w:rsidRDefault="007A082E" w:rsidP="007A082E">
      <w:pPr>
        <w:pStyle w:val="Odstavecseseznamem"/>
        <w:numPr>
          <w:ilvl w:val="0"/>
          <w:numId w:val="4"/>
        </w:numPr>
        <w:spacing w:before="60"/>
        <w:jc w:val="both"/>
      </w:pPr>
      <w:r>
        <w:rPr>
          <w:rFonts w:ascii="Arial" w:hAnsi="Arial" w:cs="Arial"/>
          <w:sz w:val="20"/>
          <w:szCs w:val="20"/>
        </w:rPr>
        <w:t>elektrické revize dle ČSN 331500, ČSN EN 60601-1 dle dalších norem související s revizní činností a to 1x ročně,</w:t>
      </w:r>
    </w:p>
    <w:p w:rsidR="007A082E" w:rsidRDefault="007A082E" w:rsidP="007A082E">
      <w:pPr>
        <w:pStyle w:val="Odstavecseseznamem"/>
        <w:numPr>
          <w:ilvl w:val="0"/>
          <w:numId w:val="4"/>
        </w:numPr>
        <w:spacing w:before="60"/>
        <w:jc w:val="both"/>
      </w:pPr>
      <w:r>
        <w:rPr>
          <w:rFonts w:ascii="Arial" w:hAnsi="Arial" w:cs="Arial"/>
          <w:sz w:val="20"/>
          <w:szCs w:val="20"/>
        </w:rPr>
        <w:t>veškeré potřebné dodávky náhradních dílů a spotřebního materiálu, včetně vakuových prvků (RTG zářiče) a náhradních dílů opotřebovaných běžným provozem, zjištěných při kontrolách, revizích, odstraňování poruch a závad přístroje,</w:t>
      </w:r>
    </w:p>
    <w:p w:rsidR="007A082E" w:rsidRDefault="007A082E" w:rsidP="007A082E">
      <w:pPr>
        <w:pStyle w:val="Odstavecseseznamem"/>
        <w:numPr>
          <w:ilvl w:val="0"/>
          <w:numId w:val="4"/>
        </w:numPr>
        <w:spacing w:before="60"/>
        <w:jc w:val="both"/>
      </w:pPr>
      <w:r>
        <w:rPr>
          <w:rFonts w:ascii="Arial" w:hAnsi="Arial" w:cs="Arial"/>
          <w:sz w:val="20"/>
          <w:szCs w:val="20"/>
        </w:rPr>
        <w:t>měření dlouhodobé stability a provozní stálosti dle zákona č. 18/1997 Sb., ve znění pozdějších předpisů,</w:t>
      </w:r>
    </w:p>
    <w:p w:rsidR="007A082E" w:rsidRDefault="007A082E" w:rsidP="007A082E">
      <w:pPr>
        <w:pStyle w:val="Odstavecseseznamem"/>
        <w:numPr>
          <w:ilvl w:val="0"/>
          <w:numId w:val="4"/>
        </w:numPr>
        <w:spacing w:before="60"/>
        <w:jc w:val="both"/>
      </w:pPr>
      <w:r>
        <w:rPr>
          <w:rFonts w:ascii="Arial" w:hAnsi="Arial" w:cs="Arial"/>
          <w:sz w:val="20"/>
          <w:szCs w:val="20"/>
        </w:rPr>
        <w:t>kontrolu funkčnosti s přezkoušením provozních údajů,</w:t>
      </w:r>
    </w:p>
    <w:p w:rsidR="007A082E" w:rsidRDefault="007A082E" w:rsidP="00E05035">
      <w:pPr>
        <w:pStyle w:val="Odstavecseseznamem"/>
        <w:numPr>
          <w:ilvl w:val="0"/>
          <w:numId w:val="4"/>
        </w:numPr>
        <w:spacing w:before="60"/>
        <w:jc w:val="both"/>
      </w:pPr>
      <w:r>
        <w:rPr>
          <w:rFonts w:ascii="Arial" w:hAnsi="Arial" w:cs="Arial"/>
          <w:sz w:val="20"/>
          <w:szCs w:val="20"/>
        </w:rPr>
        <w:t>provedení technických změn, které bude Dodavatel</w:t>
      </w:r>
      <w:r w:rsidR="00E05035">
        <w:rPr>
          <w:rFonts w:ascii="Arial" w:hAnsi="Arial" w:cs="Arial"/>
          <w:sz w:val="20"/>
          <w:szCs w:val="20"/>
        </w:rPr>
        <w:t xml:space="preserve"> </w:t>
      </w:r>
      <w:r w:rsidRPr="00E05035">
        <w:rPr>
          <w:rFonts w:ascii="Arial" w:hAnsi="Arial" w:cs="Arial"/>
          <w:sz w:val="20"/>
          <w:szCs w:val="20"/>
        </w:rPr>
        <w:t>pokládat za nezbytné z provozních nebo bezpečnostních důvodů,</w:t>
      </w:r>
    </w:p>
    <w:p w:rsidR="007A082E" w:rsidRDefault="007A082E" w:rsidP="007A082E">
      <w:pPr>
        <w:pStyle w:val="Odstavecseseznamem"/>
        <w:numPr>
          <w:ilvl w:val="0"/>
          <w:numId w:val="4"/>
        </w:numPr>
        <w:spacing w:before="60"/>
        <w:jc w:val="both"/>
      </w:pPr>
      <w:r>
        <w:rPr>
          <w:rFonts w:ascii="Arial" w:hAnsi="Arial" w:cs="Arial"/>
          <w:sz w:val="20"/>
          <w:szCs w:val="20"/>
        </w:rPr>
        <w:t>softwarové modifikace a upgrade počítačového systému Zařízení na odpovídající standard Zařízení v dané době v souladu s nejnovějšími doporučeními výrobce, včetně upgradu operačního systému a k tomu odpovídajícího hardwaru pracovní stanice (Zařízení). Dodavatel bude po dobu provádění servisu udržovat provozní parametry Zařízení minimálně ve stavu jeho pořízení</w:t>
      </w:r>
    </w:p>
    <w:p w:rsidR="007A082E" w:rsidRDefault="007A082E" w:rsidP="007A082E">
      <w:pPr>
        <w:pStyle w:val="Vchoz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vedení knihy servisních prací a související dokumentace údržby. </w:t>
      </w:r>
    </w:p>
    <w:p w:rsidR="007A082E" w:rsidRDefault="007A082E" w:rsidP="007A082E">
      <w:pPr>
        <w:pStyle w:val="Vchoz"/>
      </w:pPr>
    </w:p>
    <w:p w:rsidR="007A082E" w:rsidRDefault="007A082E" w:rsidP="007A082E">
      <w:pPr>
        <w:pStyle w:val="Odstavecseseznamem"/>
        <w:numPr>
          <w:ilvl w:val="0"/>
          <w:numId w:val="1"/>
        </w:numPr>
        <w:spacing w:before="60"/>
        <w:ind w:left="567" w:hanging="425"/>
        <w:jc w:val="both"/>
      </w:pPr>
      <w:r>
        <w:rPr>
          <w:rFonts w:ascii="Arial" w:hAnsi="Arial" w:cs="Arial"/>
          <w:sz w:val="20"/>
          <w:szCs w:val="20"/>
        </w:rPr>
        <w:t xml:space="preserve">Dokumentace údržby zahrnuje minimálně: </w:t>
      </w:r>
    </w:p>
    <w:p w:rsidR="007A082E" w:rsidRDefault="007A082E" w:rsidP="007A082E">
      <w:pPr>
        <w:pStyle w:val="Vchoz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plán BTK a intervaly ve kterých mají být prováděny,</w:t>
      </w:r>
    </w:p>
    <w:p w:rsidR="007A082E" w:rsidRDefault="007A082E" w:rsidP="007A082E">
      <w:pPr>
        <w:pStyle w:val="Vchoz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předepsané revize pro jednotlivé součásti přístroje vč. lhůt jejich obnovy, revizní zprávy, včetně doby platnosti revizních zpráv,</w:t>
      </w:r>
    </w:p>
    <w:p w:rsidR="007A082E" w:rsidRDefault="007A082E" w:rsidP="007A082E">
      <w:pPr>
        <w:pStyle w:val="Vchoz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záznamy o periodických prohlídkách, zkouškách funkce, nastavení, kalibraci, seřízení a oprav včetně dodávek náhradních dílů.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>Dodavatel se zavazuje postupovat při poskytování služeb či dodávek podle čl. 1 této smlouvy dle příslušných právních předpisů, technických norem a dle průběžných pokynů objednatele. Při plnění této smlouvy se pak Dodavatel zavazuje postupovat tak, aby nebyl narušen provoz zdravotnického zařízení objednatele.</w:t>
      </w:r>
    </w:p>
    <w:p w:rsidR="007A082E" w:rsidRDefault="007A082E" w:rsidP="007A082E">
      <w:pPr>
        <w:pStyle w:val="Vchoz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lastRenderedPageBreak/>
        <w:t>Jednotlivé dílčí závazky Dodavatel</w:t>
      </w:r>
      <w:r w:rsidR="00E0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se přitom budou považovat za splněné jejich předáním formou písemného protokolu, podepsaného oběma stranami. Místem plnění je sídlo objednatele Purkyňova 11, 695 26 Hodonín.  </w:t>
      </w:r>
    </w:p>
    <w:p w:rsidR="007A082E" w:rsidRDefault="007A082E" w:rsidP="007A082E">
      <w:pPr>
        <w:pStyle w:val="Vchoz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 xml:space="preserve">Objednatel se </w:t>
      </w:r>
      <w:r>
        <w:rPr>
          <w:rFonts w:ascii="Arial" w:hAnsi="Arial" w:cs="Arial"/>
          <w:color w:val="000000"/>
          <w:sz w:val="20"/>
          <w:szCs w:val="20"/>
        </w:rPr>
        <w:t xml:space="preserve">zavazuje zaplatit Dodavateli cenu za </w:t>
      </w:r>
      <w:r>
        <w:rPr>
          <w:rFonts w:ascii="Arial" w:hAnsi="Arial" w:cs="Arial"/>
          <w:sz w:val="20"/>
          <w:szCs w:val="20"/>
        </w:rPr>
        <w:t xml:space="preserve">poskytování tzv. full servisu zahrnujícího činnosti dle čl. 3 této smlouvy měsíčně paušální částku ve výši: </w:t>
      </w:r>
      <w:r w:rsidR="008342A2">
        <w:fldChar w:fldCharType="begin"/>
      </w:r>
      <w:r w:rsidR="008342A2">
        <w:instrText>FILLIN ""</w:instrText>
      </w:r>
      <w:r w:rsidR="008342A2">
        <w:fldChar w:fldCharType="separate"/>
      </w:r>
      <w:r>
        <w:t>[</w:t>
      </w:r>
      <w:r w:rsidRPr="00E05035">
        <w:rPr>
          <w:highlight w:val="yellow"/>
        </w:rPr>
        <w:t>bude doplněno]</w:t>
      </w:r>
      <w:r w:rsidR="008342A2">
        <w:rPr>
          <w:highlight w:val="yellow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,- Kč bez </w:t>
      </w:r>
      <w:r w:rsidR="00E05035">
        <w:rPr>
          <w:rFonts w:ascii="Arial" w:hAnsi="Arial" w:cs="Arial"/>
          <w:sz w:val="20"/>
          <w:szCs w:val="20"/>
        </w:rPr>
        <w:t>DPH.</w:t>
      </w:r>
    </w:p>
    <w:p w:rsidR="007A082E" w:rsidRDefault="007A082E" w:rsidP="007A082E">
      <w:pPr>
        <w:pStyle w:val="Odstavecseseznamem"/>
        <w:ind w:left="0"/>
        <w:jc w:val="both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>Součástí cen podle čl. 10 této smlouvy jsou veškeré ostatní náklady Dodavatel na plnění příslušné služby či dodávky, včetně dopravy a cestovních nákladů. K cenám bude připočtena DPH v aktuální výši.</w:t>
      </w:r>
    </w:p>
    <w:p w:rsidR="007A082E" w:rsidRDefault="007A082E" w:rsidP="007A082E">
      <w:pPr>
        <w:pStyle w:val="Vchoz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>Ceny za poskytování pozáručního</w:t>
      </w:r>
      <w:r w:rsidR="00E05035">
        <w:rPr>
          <w:rFonts w:ascii="Arial" w:hAnsi="Arial" w:cs="Arial"/>
          <w:sz w:val="20"/>
          <w:szCs w:val="20"/>
        </w:rPr>
        <w:t xml:space="preserve"> servisu se zavazuje Dodavatel</w:t>
      </w:r>
      <w:r>
        <w:rPr>
          <w:rFonts w:ascii="Arial" w:hAnsi="Arial" w:cs="Arial"/>
          <w:sz w:val="20"/>
          <w:szCs w:val="20"/>
        </w:rPr>
        <w:t xml:space="preserve"> gara</w:t>
      </w:r>
      <w:r w:rsidR="00E05035">
        <w:rPr>
          <w:rFonts w:ascii="Arial" w:hAnsi="Arial" w:cs="Arial"/>
          <w:sz w:val="20"/>
          <w:szCs w:val="20"/>
        </w:rPr>
        <w:t>ntovat po celou dobu podle čl. 22</w:t>
      </w:r>
      <w:r>
        <w:rPr>
          <w:rFonts w:ascii="Arial" w:hAnsi="Arial" w:cs="Arial"/>
          <w:sz w:val="20"/>
          <w:szCs w:val="20"/>
        </w:rPr>
        <w:t xml:space="preserve"> této smlouvy. Po dohodě obou smluvních stran lze však cenu upravit o inflaci dle ČSÚ vždy za předešlý rok. První úprava o inflaci je možná v roce 2021 za předešlý rok 2020. 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>Cena za poskytování pozáručního servisu bude hrazena měsíčně, na základě faktur s náležitostmi daňového a účetního dokladu. Lhůta splatnosti f</w:t>
      </w:r>
      <w:r w:rsidR="00E05035">
        <w:rPr>
          <w:rFonts w:ascii="Arial" w:hAnsi="Arial" w:cs="Arial"/>
          <w:sz w:val="20"/>
          <w:szCs w:val="20"/>
        </w:rPr>
        <w:t>aktur je 30 dní od jejich</w:t>
      </w:r>
      <w:r>
        <w:rPr>
          <w:rFonts w:ascii="Arial" w:hAnsi="Arial" w:cs="Arial"/>
          <w:sz w:val="20"/>
          <w:szCs w:val="20"/>
        </w:rPr>
        <w:t xml:space="preserve"> doručení objednateli. Pro případ prodlení s úhradou ceny díla se objednatel zavazuje zaplatit Dodavateli úrok z prodlení ve výši dle zákona.</w:t>
      </w:r>
    </w:p>
    <w:p w:rsidR="007A082E" w:rsidRDefault="007A082E" w:rsidP="007A082E">
      <w:pPr>
        <w:pStyle w:val="Odstavecseseznamem"/>
        <w:ind w:left="567"/>
        <w:jc w:val="both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 xml:space="preserve">Dodavatel odpovídá objednateli za to, že služby či dodávky poskytnuté objednateli podle této smlouvy budou odpovídat tuzemským právním předpisům, technickým, hygienickým a jiným normám, a že budou mít vlastnosti dohodnuté nebo u těchto služeb či dodávek obvyklé, a to </w:t>
      </w:r>
      <w:proofErr w:type="gramStart"/>
      <w:r>
        <w:rPr>
          <w:rFonts w:ascii="Arial" w:hAnsi="Arial" w:cs="Arial"/>
          <w:sz w:val="20"/>
          <w:szCs w:val="20"/>
        </w:rPr>
        <w:t>po  dobu</w:t>
      </w:r>
      <w:proofErr w:type="gramEnd"/>
      <w:r>
        <w:rPr>
          <w:rFonts w:ascii="Arial" w:hAnsi="Arial" w:cs="Arial"/>
          <w:sz w:val="20"/>
          <w:szCs w:val="20"/>
        </w:rPr>
        <w:t xml:space="preserve"> záruční lhůty, která činí 6 měsíců ode dne splnění dílčího závazku Dodavatele k provedení díla. Záruční doba na provedené práce činí 6 měsíců od provedení opravy. Záruka na dodané náhradní díly vyplývá ze záruky, kterou poskytuje výrobce, minimálně však 12 měsíců </w:t>
      </w:r>
      <w:proofErr w:type="gramStart"/>
      <w:r>
        <w:rPr>
          <w:rFonts w:ascii="Arial" w:hAnsi="Arial" w:cs="Arial"/>
          <w:sz w:val="20"/>
          <w:szCs w:val="20"/>
        </w:rPr>
        <w:t>od  dodání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A082E" w:rsidRDefault="007A082E" w:rsidP="007A082E">
      <w:pPr>
        <w:pStyle w:val="Vchoz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>Dodavatel se zavazuje rozhodovat o písemných reklamacích objednatele písemně ve lhůtě do 2 pracovních dnů od jejich doručení, a ve stejné lhůtě provést odstranění vad z oprávněných reklamací, nebude-li mezi oběma stranami v jednotlivém případě dohodnuto jinak.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 xml:space="preserve">Pro případ sporu o oprávněnost reklamace se objednateli vyhrazuje právo nechat vyhotovit k </w:t>
      </w:r>
      <w:r w:rsidRPr="00C70ECE">
        <w:rPr>
          <w:rFonts w:ascii="Arial" w:hAnsi="Arial" w:cs="Arial"/>
          <w:sz w:val="20"/>
          <w:szCs w:val="20"/>
        </w:rPr>
        <w:t>prověření jakosti díla soudní znalecký posudek, jehož výroku se obě strany zavazují podřizovat</w:t>
      </w:r>
      <w:r>
        <w:rPr>
          <w:rFonts w:ascii="Arial" w:hAnsi="Arial" w:cs="Arial"/>
          <w:sz w:val="20"/>
          <w:szCs w:val="20"/>
        </w:rPr>
        <w:t xml:space="preserve"> s tím, že náklady na vyhotovení tohoto posudku se zavazuje nést ten účastník sporu, kterému tento posudek nedal zapravdu.</w:t>
      </w:r>
    </w:p>
    <w:p w:rsidR="007A082E" w:rsidRDefault="007A082E" w:rsidP="007A082E">
      <w:pPr>
        <w:pStyle w:val="Vchoz"/>
        <w:ind w:left="567"/>
      </w:pPr>
    </w:p>
    <w:p w:rsidR="007A082E" w:rsidRPr="00C70EC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 xml:space="preserve">Není-li touto </w:t>
      </w:r>
      <w:r w:rsidRPr="00C70ECE">
        <w:rPr>
          <w:rFonts w:ascii="Arial" w:hAnsi="Arial" w:cs="Arial"/>
          <w:sz w:val="20"/>
          <w:szCs w:val="20"/>
        </w:rPr>
        <w:t xml:space="preserve">smlouvou ujednáno jinak, řídí se vzájemný právní vztah mezi Dodavatelem a objednatelem </w:t>
      </w:r>
      <w:r w:rsidR="00C70ECE">
        <w:rPr>
          <w:rFonts w:ascii="Arial" w:hAnsi="Arial" w:cs="Arial"/>
          <w:sz w:val="20"/>
          <w:szCs w:val="20"/>
        </w:rPr>
        <w:t xml:space="preserve">příslušnými ustanoveními </w:t>
      </w:r>
      <w:r w:rsidRPr="00C70ECE">
        <w:rPr>
          <w:rFonts w:ascii="Arial" w:hAnsi="Arial" w:cs="Arial"/>
          <w:sz w:val="20"/>
          <w:szCs w:val="20"/>
        </w:rPr>
        <w:t>občanského zákoníku.</w:t>
      </w:r>
    </w:p>
    <w:p w:rsidR="007A082E" w:rsidRDefault="007A082E" w:rsidP="007A082E">
      <w:pPr>
        <w:pStyle w:val="Odstavecseseznamem"/>
        <w:jc w:val="both"/>
      </w:pPr>
    </w:p>
    <w:p w:rsidR="007A082E" w:rsidRDefault="007A082E" w:rsidP="007A082E">
      <w:pPr>
        <w:pStyle w:val="Odstavecseseznamem"/>
        <w:numPr>
          <w:ilvl w:val="0"/>
          <w:numId w:val="1"/>
        </w:numPr>
        <w:tabs>
          <w:tab w:val="left" w:pos="1134"/>
        </w:tabs>
        <w:ind w:left="567" w:hanging="425"/>
        <w:jc w:val="both"/>
      </w:pPr>
      <w:bookmarkStart w:id="1" w:name="_Ref383434471"/>
      <w:bookmarkStart w:id="2" w:name="_Ref383426806"/>
      <w:bookmarkEnd w:id="1"/>
      <w:bookmarkEnd w:id="2"/>
      <w:r>
        <w:rPr>
          <w:rFonts w:ascii="Arial" w:hAnsi="Arial" w:cs="Arial"/>
          <w:sz w:val="20"/>
          <w:szCs w:val="20"/>
        </w:rPr>
        <w:t>Tuto smlouvu lze změnit nebo zrušit pouze jinou písemnou dohodu obou smluvních stran. Tuto smlouvu lze také vypovědět písemnou výpovědí s tříměsíční výpovědní lhůtou, která počne běžet prvním dnem měsíce následujícího po doručení výpovědi druhé smluvní straně. Ze strany Dodavatele lze tuto smlouvu vypovědět pouze z důvodu prodlení objednatele se zaplacením ce</w:t>
      </w:r>
      <w:r w:rsidR="00E05035">
        <w:rPr>
          <w:rFonts w:ascii="Arial" w:hAnsi="Arial" w:cs="Arial"/>
          <w:sz w:val="20"/>
          <w:szCs w:val="20"/>
        </w:rPr>
        <w:t>ny dodávky (služby)</w:t>
      </w:r>
      <w:r>
        <w:rPr>
          <w:rFonts w:ascii="Arial" w:hAnsi="Arial" w:cs="Arial"/>
          <w:sz w:val="20"/>
          <w:szCs w:val="20"/>
        </w:rPr>
        <w:t xml:space="preserve"> o víc</w:t>
      </w:r>
      <w:r w:rsidR="00E0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než 3 měsíce. 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 xml:space="preserve">Pro případ skončení této smlouvy </w:t>
      </w:r>
      <w:r w:rsidR="00E05035">
        <w:rPr>
          <w:rFonts w:ascii="Arial" w:hAnsi="Arial" w:cs="Arial"/>
          <w:sz w:val="20"/>
          <w:szCs w:val="20"/>
        </w:rPr>
        <w:t>před uplynutím doby podle čl. 22</w:t>
      </w:r>
      <w:r>
        <w:rPr>
          <w:rFonts w:ascii="Arial" w:hAnsi="Arial" w:cs="Arial"/>
          <w:sz w:val="20"/>
          <w:szCs w:val="20"/>
        </w:rPr>
        <w:t xml:space="preserve"> této smlouvy odstoupením Dodavatele nebo výpovědí ze strany objednatele pro podstatné porušení této smlouvy ze strany Dodavatele, se Dodavatel zavazuje zaplatit objednateli smluvní pokutu ve výši </w:t>
      </w:r>
      <w:r>
        <w:rPr>
          <w:rFonts w:ascii="Arial" w:hAnsi="Arial" w:cs="Arial"/>
          <w:b/>
          <w:sz w:val="20"/>
          <w:szCs w:val="20"/>
        </w:rPr>
        <w:t>10 000</w:t>
      </w:r>
      <w:r>
        <w:rPr>
          <w:rFonts w:ascii="Arial" w:hAnsi="Arial" w:cs="Arial"/>
          <w:sz w:val="20"/>
          <w:szCs w:val="20"/>
        </w:rPr>
        <w:t>,- Kč za každý i započatý rok neposkytování pozáručního servisu zbývajícíh</w:t>
      </w:r>
      <w:r w:rsidR="00E05035">
        <w:rPr>
          <w:rFonts w:ascii="Arial" w:hAnsi="Arial" w:cs="Arial"/>
          <w:sz w:val="20"/>
          <w:szCs w:val="20"/>
        </w:rPr>
        <w:t>o do ukončení smlouvy dle čl. 22</w:t>
      </w:r>
      <w:r>
        <w:rPr>
          <w:rFonts w:ascii="Arial" w:hAnsi="Arial" w:cs="Arial"/>
          <w:sz w:val="20"/>
          <w:szCs w:val="20"/>
        </w:rPr>
        <w:t xml:space="preserve"> této smlouvy. Za podstatné porušení této smlouvy ze strany Dodavatele se přitom považuje zejména prodlení s plněním závazku Dodavatele k provedení díla o víc, než 1 měsíc, výskyt neodstranitelné vady nebo opakovaný výskyt vad nebo neuzn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ání oprávněné reklamace. </w:t>
      </w:r>
    </w:p>
    <w:p w:rsidR="007A082E" w:rsidRDefault="007A082E" w:rsidP="007A082E">
      <w:pPr>
        <w:pStyle w:val="Vchoz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lastRenderedPageBreak/>
        <w:t>Tato smlouva se uzavírá na základě návrhu na její uzavření ze strany objednatele. Předpokladem uzavření této smlouvy je její písemná forma a dohoda o celém jejím obsahu jak je o</w:t>
      </w:r>
      <w:r w:rsidR="00E05035">
        <w:rPr>
          <w:rFonts w:ascii="Arial" w:hAnsi="Arial" w:cs="Arial"/>
          <w:sz w:val="20"/>
          <w:szCs w:val="20"/>
        </w:rPr>
        <w:t>bsažen v jejích článcích 1 až 23</w:t>
      </w:r>
      <w:r>
        <w:rPr>
          <w:rFonts w:ascii="Arial" w:hAnsi="Arial" w:cs="Arial"/>
          <w:sz w:val="20"/>
          <w:szCs w:val="20"/>
        </w:rPr>
        <w:t xml:space="preserve">. </w:t>
      </w:r>
      <w:r w:rsidRPr="00E05035">
        <w:rPr>
          <w:rFonts w:ascii="Arial" w:hAnsi="Arial" w:cs="Arial"/>
          <w:sz w:val="20"/>
          <w:szCs w:val="20"/>
        </w:rPr>
        <w:t xml:space="preserve">Objednatel přitom předem vylučuje přijetí tohoto návrhu s dodatkem nebo odchylkou ve smyslu </w:t>
      </w:r>
      <w:r w:rsidR="00E05035">
        <w:rPr>
          <w:rFonts w:ascii="Arial" w:hAnsi="Arial" w:cs="Arial"/>
          <w:sz w:val="20"/>
          <w:szCs w:val="20"/>
        </w:rPr>
        <w:t xml:space="preserve">§ 1740 odst. 3 </w:t>
      </w:r>
      <w:r w:rsidRPr="00E05035">
        <w:rPr>
          <w:rFonts w:ascii="Arial" w:hAnsi="Arial" w:cs="Arial"/>
          <w:sz w:val="20"/>
          <w:szCs w:val="20"/>
        </w:rPr>
        <w:t>občanského</w:t>
      </w:r>
      <w:r>
        <w:rPr>
          <w:rFonts w:ascii="Arial" w:hAnsi="Arial" w:cs="Arial"/>
          <w:sz w:val="20"/>
          <w:szCs w:val="20"/>
        </w:rPr>
        <w:t xml:space="preserve"> zákoníku. </w:t>
      </w:r>
    </w:p>
    <w:p w:rsidR="007A082E" w:rsidRDefault="007A082E" w:rsidP="007A082E">
      <w:pPr>
        <w:pStyle w:val="Odstavecseseznamem"/>
        <w:ind w:left="567"/>
        <w:jc w:val="both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objednatel.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 xml:space="preserve">Tato smlouva nabývá účinnosti dnem podpisu poslední ze smluvních stran a uzavírá se na dobu 6 let od skončení záruční lhůty dle kupní smlouvy ze dne </w:t>
      </w:r>
      <w:r w:rsidR="00131557" w:rsidRPr="00E05035">
        <w:rPr>
          <w:highlight w:val="yellow"/>
        </w:rPr>
        <w:fldChar w:fldCharType="begin"/>
      </w:r>
      <w:r w:rsidR="00C8289A" w:rsidRPr="00E05035">
        <w:rPr>
          <w:highlight w:val="yellow"/>
        </w:rPr>
        <w:instrText>FILLIN ""</w:instrText>
      </w:r>
      <w:r w:rsidR="00131557" w:rsidRPr="00E05035">
        <w:rPr>
          <w:highlight w:val="yellow"/>
        </w:rPr>
        <w:fldChar w:fldCharType="separate"/>
      </w:r>
      <w:r w:rsidRPr="00E05035">
        <w:rPr>
          <w:highlight w:val="yellow"/>
        </w:rPr>
        <w:t>[bude doplněno před uzavřením smlouvy]</w:t>
      </w:r>
      <w:r w:rsidR="00131557" w:rsidRPr="00E05035">
        <w:rPr>
          <w:highlight w:val="yellow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2017. </w:t>
      </w:r>
    </w:p>
    <w:p w:rsidR="007A082E" w:rsidRDefault="007A082E" w:rsidP="007A082E">
      <w:pPr>
        <w:pStyle w:val="Vchoz"/>
        <w:ind w:left="567"/>
      </w:pPr>
    </w:p>
    <w:p w:rsidR="007A082E" w:rsidRDefault="007A082E" w:rsidP="007A082E">
      <w:pPr>
        <w:pStyle w:val="Odstavecseseznamem"/>
        <w:numPr>
          <w:ilvl w:val="0"/>
          <w:numId w:val="1"/>
        </w:numPr>
        <w:ind w:left="567" w:hanging="425"/>
        <w:jc w:val="both"/>
      </w:pPr>
      <w:r>
        <w:rPr>
          <w:rFonts w:ascii="Arial" w:hAnsi="Arial" w:cs="Arial"/>
          <w:sz w:val="20"/>
          <w:szCs w:val="20"/>
        </w:rPr>
        <w:t>Dáno ve dvou originálních písemných vyhotoveních, z nichž každá ze smluvních stran obdrží po jednom vyhotovení.</w:t>
      </w: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</w:p>
    <w:p w:rsidR="007A082E" w:rsidRDefault="00C21C51" w:rsidP="007A082E">
      <w:pPr>
        <w:pStyle w:val="Vchoz"/>
        <w:jc w:val="both"/>
      </w:pPr>
      <w:r>
        <w:rPr>
          <w:rFonts w:ascii="Arial" w:hAnsi="Arial" w:cs="Arial"/>
          <w:sz w:val="20"/>
          <w:szCs w:val="20"/>
        </w:rPr>
        <w:t>V Hodoníně dne …</w:t>
      </w:r>
      <w:proofErr w:type="gramStart"/>
      <w:r>
        <w:rPr>
          <w:rFonts w:ascii="Arial" w:hAnsi="Arial" w:cs="Arial"/>
          <w:sz w:val="20"/>
          <w:szCs w:val="20"/>
        </w:rPr>
        <w:t>…... 2017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8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……………...</w:t>
      </w:r>
      <w:r w:rsidR="007A082E"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r w:rsidR="007A082E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>……………</w:t>
      </w:r>
      <w:r w:rsidR="007A082E">
        <w:rPr>
          <w:rFonts w:ascii="Arial" w:hAnsi="Arial" w:cs="Arial"/>
          <w:sz w:val="20"/>
          <w:szCs w:val="20"/>
        </w:rPr>
        <w:t>2017</w:t>
      </w: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</w:p>
    <w:p w:rsidR="00C21C51" w:rsidRDefault="00C21C51" w:rsidP="007A082E">
      <w:pPr>
        <w:pStyle w:val="Vchoz"/>
        <w:jc w:val="both"/>
      </w:pPr>
    </w:p>
    <w:p w:rsidR="00C21C51" w:rsidRDefault="00C21C51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</w:t>
      </w: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jc w:val="both"/>
      </w:pPr>
    </w:p>
    <w:p w:rsidR="007A082E" w:rsidRDefault="007A082E" w:rsidP="007A082E">
      <w:pPr>
        <w:pStyle w:val="Vchoz"/>
        <w:tabs>
          <w:tab w:val="left" w:pos="4820"/>
          <w:tab w:val="left" w:pos="5670"/>
        </w:tabs>
        <w:jc w:val="both"/>
      </w:pPr>
      <w:r>
        <w:rPr>
          <w:rFonts w:ascii="Arial" w:hAnsi="Arial" w:cs="Arial"/>
          <w:sz w:val="20"/>
          <w:szCs w:val="20"/>
        </w:rPr>
        <w:t>…………………………….                                                   ……………………………</w:t>
      </w:r>
    </w:p>
    <w:p w:rsidR="007A082E" w:rsidRDefault="007A082E" w:rsidP="007A082E">
      <w:pPr>
        <w:pStyle w:val="Vchoz"/>
        <w:jc w:val="both"/>
      </w:pPr>
      <w:r>
        <w:rPr>
          <w:rFonts w:ascii="Arial" w:hAnsi="Arial" w:cs="Arial"/>
          <w:b/>
          <w:sz w:val="20"/>
          <w:szCs w:val="20"/>
        </w:rPr>
        <w:t>MUDr. Věra Dostálová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42A2">
        <w:fldChar w:fldCharType="begin"/>
      </w:r>
      <w:r w:rsidR="008342A2">
        <w:instrText>FILLIN ""</w:instrText>
      </w:r>
      <w:r w:rsidR="008342A2">
        <w:fldChar w:fldCharType="separate"/>
      </w:r>
      <w:r>
        <w:t>[bude doplněno]</w:t>
      </w:r>
      <w:r w:rsidR="008342A2">
        <w:fldChar w:fldCharType="end"/>
      </w:r>
    </w:p>
    <w:p w:rsidR="007A082E" w:rsidRDefault="007A082E" w:rsidP="007A082E">
      <w:pPr>
        <w:pStyle w:val="Vchoz"/>
        <w:jc w:val="both"/>
      </w:pPr>
      <w:r>
        <w:rPr>
          <w:rFonts w:ascii="Arial" w:hAnsi="Arial" w:cs="Arial"/>
          <w:sz w:val="20"/>
          <w:szCs w:val="20"/>
        </w:rPr>
        <w:t xml:space="preserve"> ředitelka nemocnice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42A2">
        <w:fldChar w:fldCharType="begin"/>
      </w:r>
      <w:r w:rsidR="008342A2">
        <w:instrText>FILLIN ""</w:instrText>
      </w:r>
      <w:r w:rsidR="008342A2">
        <w:fldChar w:fldCharType="separate"/>
      </w:r>
      <w:r>
        <w:t>[bude doplněno]</w:t>
      </w:r>
      <w:r w:rsidR="008342A2">
        <w:fldChar w:fldCharType="end"/>
      </w:r>
    </w:p>
    <w:p w:rsidR="007A082E" w:rsidRDefault="007A082E" w:rsidP="007A082E">
      <w:pPr>
        <w:pStyle w:val="Vchoz"/>
      </w:pPr>
    </w:p>
    <w:p w:rsidR="00167750" w:rsidRPr="007A082E" w:rsidRDefault="00167750" w:rsidP="007A082E"/>
    <w:sectPr w:rsidR="00167750" w:rsidRPr="007A082E" w:rsidSect="00746E12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33" w:rsidRDefault="00F06933" w:rsidP="00C8289A">
      <w:pPr>
        <w:spacing w:after="0" w:line="240" w:lineRule="auto"/>
      </w:pPr>
      <w:r>
        <w:separator/>
      </w:r>
    </w:p>
  </w:endnote>
  <w:endnote w:type="continuationSeparator" w:id="0">
    <w:p w:rsidR="00F06933" w:rsidRDefault="00F06933" w:rsidP="00C8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12" w:rsidRDefault="00F06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33" w:rsidRDefault="00F06933" w:rsidP="00C8289A">
      <w:pPr>
        <w:spacing w:after="0" w:line="240" w:lineRule="auto"/>
      </w:pPr>
      <w:r>
        <w:separator/>
      </w:r>
    </w:p>
  </w:footnote>
  <w:footnote w:type="continuationSeparator" w:id="0">
    <w:p w:rsidR="00F06933" w:rsidRDefault="00F06933" w:rsidP="00C8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F9E"/>
    <w:multiLevelType w:val="multilevel"/>
    <w:tmpl w:val="F500A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>
    <w:nsid w:val="2CC41422"/>
    <w:multiLevelType w:val="multilevel"/>
    <w:tmpl w:val="0A80518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2.%3."/>
      <w:lvlJc w:val="right"/>
      <w:pPr>
        <w:ind w:left="2727" w:hanging="180"/>
      </w:pPr>
    </w:lvl>
    <w:lvl w:ilvl="3">
      <w:start w:val="1"/>
      <w:numFmt w:val="decimal"/>
      <w:lvlText w:val="%2.%3.%4."/>
      <w:lvlJc w:val="left"/>
      <w:pPr>
        <w:ind w:left="3447" w:hanging="360"/>
      </w:pPr>
    </w:lvl>
    <w:lvl w:ilvl="4">
      <w:start w:val="1"/>
      <w:numFmt w:val="lowerLetter"/>
      <w:lvlText w:val="%2.%3.%4.%5."/>
      <w:lvlJc w:val="left"/>
      <w:pPr>
        <w:ind w:left="4167" w:hanging="360"/>
      </w:pPr>
    </w:lvl>
    <w:lvl w:ilvl="5">
      <w:start w:val="1"/>
      <w:numFmt w:val="lowerRoman"/>
      <w:lvlText w:val="%2.%3.%4.%5.%6."/>
      <w:lvlJc w:val="right"/>
      <w:pPr>
        <w:ind w:left="4887" w:hanging="180"/>
      </w:pPr>
    </w:lvl>
    <w:lvl w:ilvl="6">
      <w:start w:val="1"/>
      <w:numFmt w:val="decimal"/>
      <w:lvlText w:val="%2.%3.%4.%5.%6.%7."/>
      <w:lvlJc w:val="left"/>
      <w:pPr>
        <w:ind w:left="5607" w:hanging="360"/>
      </w:pPr>
    </w:lvl>
    <w:lvl w:ilvl="7">
      <w:start w:val="1"/>
      <w:numFmt w:val="lowerLetter"/>
      <w:lvlText w:val="%2.%3.%4.%5.%6.%7.%8."/>
      <w:lvlJc w:val="left"/>
      <w:pPr>
        <w:ind w:left="6327" w:hanging="360"/>
      </w:pPr>
    </w:lvl>
    <w:lvl w:ilvl="8">
      <w:start w:val="1"/>
      <w:numFmt w:val="lowerRoman"/>
      <w:lvlText w:val="%2.%3.%4.%5.%6.%7.%8.%9."/>
      <w:lvlJc w:val="right"/>
      <w:pPr>
        <w:ind w:left="7047" w:hanging="180"/>
      </w:pPr>
    </w:lvl>
  </w:abstractNum>
  <w:abstractNum w:abstractNumId="2">
    <w:nsid w:val="48A400AF"/>
    <w:multiLevelType w:val="multilevel"/>
    <w:tmpl w:val="0EFAD89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53565E9"/>
    <w:multiLevelType w:val="multilevel"/>
    <w:tmpl w:val="F1B8CC0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2.%3."/>
      <w:lvlJc w:val="right"/>
      <w:pPr>
        <w:ind w:left="2727" w:hanging="180"/>
      </w:pPr>
    </w:lvl>
    <w:lvl w:ilvl="3">
      <w:start w:val="1"/>
      <w:numFmt w:val="decimal"/>
      <w:lvlText w:val="%2.%3.%4."/>
      <w:lvlJc w:val="left"/>
      <w:pPr>
        <w:ind w:left="3447" w:hanging="360"/>
      </w:pPr>
    </w:lvl>
    <w:lvl w:ilvl="4">
      <w:start w:val="1"/>
      <w:numFmt w:val="lowerLetter"/>
      <w:lvlText w:val="%2.%3.%4.%5."/>
      <w:lvlJc w:val="left"/>
      <w:pPr>
        <w:ind w:left="4167" w:hanging="360"/>
      </w:pPr>
    </w:lvl>
    <w:lvl w:ilvl="5">
      <w:start w:val="1"/>
      <w:numFmt w:val="lowerRoman"/>
      <w:lvlText w:val="%2.%3.%4.%5.%6."/>
      <w:lvlJc w:val="right"/>
      <w:pPr>
        <w:ind w:left="4887" w:hanging="180"/>
      </w:pPr>
    </w:lvl>
    <w:lvl w:ilvl="6">
      <w:start w:val="1"/>
      <w:numFmt w:val="decimal"/>
      <w:lvlText w:val="%2.%3.%4.%5.%6.%7."/>
      <w:lvlJc w:val="left"/>
      <w:pPr>
        <w:ind w:left="5607" w:hanging="360"/>
      </w:pPr>
    </w:lvl>
    <w:lvl w:ilvl="7">
      <w:start w:val="1"/>
      <w:numFmt w:val="lowerLetter"/>
      <w:lvlText w:val="%2.%3.%4.%5.%6.%7.%8."/>
      <w:lvlJc w:val="left"/>
      <w:pPr>
        <w:ind w:left="6327" w:hanging="360"/>
      </w:pPr>
    </w:lvl>
    <w:lvl w:ilvl="8">
      <w:start w:val="1"/>
      <w:numFmt w:val="lowerRoman"/>
      <w:lvlText w:val="%2.%3.%4.%5.%6.%7.%8.%9."/>
      <w:lvlJc w:val="right"/>
      <w:pPr>
        <w:ind w:left="7047" w:hanging="180"/>
      </w:pPr>
    </w:lvl>
  </w:abstractNum>
  <w:abstractNum w:abstractNumId="4">
    <w:nsid w:val="77C354FF"/>
    <w:multiLevelType w:val="multilevel"/>
    <w:tmpl w:val="19DE9E4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7A87598B"/>
    <w:multiLevelType w:val="multilevel"/>
    <w:tmpl w:val="E8E2B8F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2.%3."/>
      <w:lvlJc w:val="right"/>
      <w:pPr>
        <w:ind w:left="2727" w:hanging="180"/>
      </w:pPr>
    </w:lvl>
    <w:lvl w:ilvl="3">
      <w:start w:val="1"/>
      <w:numFmt w:val="decimal"/>
      <w:lvlText w:val="%2.%3.%4."/>
      <w:lvlJc w:val="left"/>
      <w:pPr>
        <w:ind w:left="3447" w:hanging="360"/>
      </w:pPr>
    </w:lvl>
    <w:lvl w:ilvl="4">
      <w:start w:val="1"/>
      <w:numFmt w:val="lowerLetter"/>
      <w:lvlText w:val="%2.%3.%4.%5."/>
      <w:lvlJc w:val="left"/>
      <w:pPr>
        <w:ind w:left="4167" w:hanging="360"/>
      </w:pPr>
    </w:lvl>
    <w:lvl w:ilvl="5">
      <w:start w:val="1"/>
      <w:numFmt w:val="lowerRoman"/>
      <w:lvlText w:val="%2.%3.%4.%5.%6."/>
      <w:lvlJc w:val="right"/>
      <w:pPr>
        <w:ind w:left="4887" w:hanging="180"/>
      </w:pPr>
    </w:lvl>
    <w:lvl w:ilvl="6">
      <w:start w:val="1"/>
      <w:numFmt w:val="decimal"/>
      <w:lvlText w:val="%2.%3.%4.%5.%6.%7."/>
      <w:lvlJc w:val="left"/>
      <w:pPr>
        <w:ind w:left="5607" w:hanging="360"/>
      </w:pPr>
    </w:lvl>
    <w:lvl w:ilvl="7">
      <w:start w:val="1"/>
      <w:numFmt w:val="lowerLetter"/>
      <w:lvlText w:val="%2.%3.%4.%5.%6.%7.%8."/>
      <w:lvlJc w:val="left"/>
      <w:pPr>
        <w:ind w:left="6327" w:hanging="360"/>
      </w:pPr>
    </w:lvl>
    <w:lvl w:ilvl="8">
      <w:start w:val="1"/>
      <w:numFmt w:val="lowerRoman"/>
      <w:lvlText w:val="%2.%3.%4.%5.%6.%7.%8.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82E"/>
    <w:rsid w:val="00131557"/>
    <w:rsid w:val="00167750"/>
    <w:rsid w:val="00197AC0"/>
    <w:rsid w:val="004D6E43"/>
    <w:rsid w:val="00604887"/>
    <w:rsid w:val="007A082E"/>
    <w:rsid w:val="008342A2"/>
    <w:rsid w:val="00981CD3"/>
    <w:rsid w:val="00BD6C35"/>
    <w:rsid w:val="00C21C51"/>
    <w:rsid w:val="00C70ECE"/>
    <w:rsid w:val="00C8289A"/>
    <w:rsid w:val="00CF090F"/>
    <w:rsid w:val="00E05035"/>
    <w:rsid w:val="00E94D9F"/>
    <w:rsid w:val="00F06933"/>
    <w:rsid w:val="00F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82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A082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styleId="Zhlav">
    <w:name w:val="header"/>
    <w:basedOn w:val="Vchoz"/>
    <w:link w:val="ZhlavChar"/>
    <w:rsid w:val="007A082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082E"/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styleId="Zpat">
    <w:name w:val="footer"/>
    <w:basedOn w:val="Vchoz"/>
    <w:link w:val="ZpatChar"/>
    <w:rsid w:val="007A082E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82E"/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styleId="Odstavecseseznamem">
    <w:name w:val="List Paragraph"/>
    <w:basedOn w:val="Vchoz"/>
    <w:rsid w:val="007A08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Otáhalová</dc:creator>
  <cp:lastModifiedBy>Alice</cp:lastModifiedBy>
  <cp:revision>5</cp:revision>
  <cp:lastPrinted>2017-06-15T08:17:00Z</cp:lastPrinted>
  <dcterms:created xsi:type="dcterms:W3CDTF">2017-06-08T12:35:00Z</dcterms:created>
  <dcterms:modified xsi:type="dcterms:W3CDTF">2017-07-10T05:54:00Z</dcterms:modified>
</cp:coreProperties>
</file>