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29" w:rsidRDefault="00B829AC" w:rsidP="00636FEA">
      <w:pPr>
        <w:pStyle w:val="Zhlav"/>
        <w:jc w:val="center"/>
        <w:rPr>
          <w:b/>
          <w:bCs/>
          <w:sz w:val="32"/>
          <w:szCs w:val="32"/>
        </w:rPr>
      </w:pPr>
      <w:r w:rsidRPr="004C1B3D">
        <w:rPr>
          <w:b/>
          <w:bCs/>
          <w:sz w:val="32"/>
          <w:szCs w:val="32"/>
        </w:rPr>
        <w:t>Smlouva o dílo</w:t>
      </w:r>
    </w:p>
    <w:p w:rsidR="00EA6E29" w:rsidRDefault="00B829AC" w:rsidP="008564B8">
      <w:pPr>
        <w:pStyle w:val="Zhlav"/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</w:t>
      </w:r>
      <w:r w:rsidR="00EA6E29" w:rsidRPr="004C1B3D">
        <w:rPr>
          <w:b/>
          <w:sz w:val="32"/>
          <w:szCs w:val="32"/>
        </w:rPr>
        <w:t>201</w:t>
      </w:r>
      <w:r w:rsidR="008564B8">
        <w:rPr>
          <w:b/>
          <w:sz w:val="32"/>
          <w:szCs w:val="32"/>
        </w:rPr>
        <w:t>8</w:t>
      </w:r>
    </w:p>
    <w:p w:rsidR="00EA6E29" w:rsidRDefault="00D0048B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Oblast Jih</w:t>
      </w:r>
    </w:p>
    <w:p w:rsidR="00B829AC" w:rsidRPr="004C1B3D" w:rsidRDefault="003406FE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proofErr w:type="spellStart"/>
      <w:r w:rsidRPr="004C1B3D">
        <w:rPr>
          <w:b/>
          <w:sz w:val="32"/>
          <w:szCs w:val="32"/>
        </w:rPr>
        <w:t>cestmistrovství</w:t>
      </w:r>
      <w:proofErr w:type="spellEnd"/>
      <w:r w:rsidR="00D0048B">
        <w:rPr>
          <w:b/>
          <w:sz w:val="32"/>
          <w:szCs w:val="32"/>
        </w:rPr>
        <w:t xml:space="preserve"> Hodonín </w:t>
      </w:r>
      <w:r w:rsidR="00A47A18">
        <w:rPr>
          <w:b/>
          <w:sz w:val="32"/>
          <w:szCs w:val="32"/>
        </w:rPr>
        <w:t xml:space="preserve">a </w:t>
      </w:r>
      <w:proofErr w:type="spellStart"/>
      <w:r w:rsidR="00A47A18">
        <w:rPr>
          <w:b/>
          <w:sz w:val="32"/>
          <w:szCs w:val="32"/>
        </w:rPr>
        <w:t>cestmistrovství</w:t>
      </w:r>
      <w:proofErr w:type="spellEnd"/>
      <w:r w:rsidR="00A47A18">
        <w:rPr>
          <w:b/>
          <w:sz w:val="32"/>
          <w:szCs w:val="32"/>
        </w:rPr>
        <w:t xml:space="preserve"> </w:t>
      </w:r>
      <w:r w:rsidR="00463BB4">
        <w:rPr>
          <w:b/>
          <w:sz w:val="32"/>
          <w:szCs w:val="32"/>
        </w:rPr>
        <w:t>Veselí nad Moravou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A4269A" w:rsidRPr="00146EE7" w:rsidRDefault="00A4269A" w:rsidP="003A64EF">
      <w:pPr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sídlem Žerotínovo náměstí</w:t>
      </w:r>
      <w:r w:rsidR="00252CFD">
        <w:rPr>
          <w:sz w:val="22"/>
          <w:szCs w:val="22"/>
        </w:rPr>
        <w:t xml:space="preserve"> 449/</w:t>
      </w:r>
      <w:r w:rsidRPr="00146EE7">
        <w:rPr>
          <w:sz w:val="22"/>
          <w:szCs w:val="22"/>
        </w:rPr>
        <w:t xml:space="preserve"> 3, 60</w:t>
      </w:r>
      <w:r w:rsidR="00252CFD">
        <w:rPr>
          <w:sz w:val="22"/>
          <w:szCs w:val="22"/>
        </w:rPr>
        <w:t>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DD4021">
        <w:rPr>
          <w:sz w:val="22"/>
          <w:szCs w:val="22"/>
        </w:rPr>
        <w:t>O</w:t>
      </w:r>
      <w:r w:rsidRPr="00146EE7">
        <w:rPr>
          <w:sz w:val="22"/>
          <w:szCs w:val="22"/>
        </w:rPr>
        <w:t xml:space="preserve"> 70932581</w:t>
      </w:r>
    </w:p>
    <w:p w:rsidR="000756BB" w:rsidRPr="00146EE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 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FD26B7" w:rsidRPr="00146EE7">
        <w:rPr>
          <w:sz w:val="22"/>
          <w:szCs w:val="22"/>
        </w:rPr>
        <w:t>,</w:t>
      </w:r>
      <w:r w:rsidR="003F4371" w:rsidRPr="00146EE7">
        <w:rPr>
          <w:sz w:val="22"/>
          <w:szCs w:val="22"/>
        </w:rPr>
        <w:tab/>
      </w:r>
      <w:r w:rsidR="00FD26B7" w:rsidRPr="00146EE7">
        <w:rPr>
          <w:sz w:val="22"/>
          <w:szCs w:val="22"/>
        </w:rPr>
        <w:t xml:space="preserve">oddíl </w:t>
      </w:r>
      <w:proofErr w:type="spellStart"/>
      <w:r w:rsidR="00FD26B7" w:rsidRPr="00146EE7">
        <w:rPr>
          <w:sz w:val="22"/>
          <w:szCs w:val="22"/>
        </w:rPr>
        <w:t>Pr</w:t>
      </w:r>
      <w:proofErr w:type="spellEnd"/>
      <w:r w:rsidR="00FD26B7" w:rsidRPr="00146EE7">
        <w:rPr>
          <w:sz w:val="22"/>
          <w:szCs w:val="22"/>
        </w:rPr>
        <w:t>, vložka 287</w:t>
      </w:r>
    </w:p>
    <w:p w:rsidR="00A4269A" w:rsidRPr="00146EE7" w:rsidRDefault="00DD4021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I</w:t>
      </w:r>
      <w:r w:rsidR="003F4371" w:rsidRPr="00146EE7">
        <w:rPr>
          <w:sz w:val="22"/>
          <w:szCs w:val="22"/>
        </w:rPr>
        <w:t xml:space="preserve">ng. </w:t>
      </w:r>
      <w:r w:rsidR="008C3AD7">
        <w:rPr>
          <w:sz w:val="22"/>
          <w:szCs w:val="22"/>
        </w:rPr>
        <w:t>Zdeňkem Komůrkou</w:t>
      </w:r>
      <w:r w:rsidR="003F4371" w:rsidRPr="00146EE7">
        <w:rPr>
          <w:sz w:val="22"/>
          <w:szCs w:val="22"/>
        </w:rPr>
        <w:t>, ředitelem</w:t>
      </w:r>
      <w:bookmarkStart w:id="0" w:name="_GoBack"/>
      <w:bookmarkEnd w:id="0"/>
    </w:p>
    <w:p w:rsidR="002C2E62" w:rsidRPr="00146EE7" w:rsidRDefault="002C2E62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146EE7">
        <w:rPr>
          <w:b/>
          <w:smallCaps/>
          <w:sz w:val="22"/>
          <w:szCs w:val="22"/>
        </w:rPr>
        <w:t>a</w:t>
      </w:r>
    </w:p>
    <w:p w:rsidR="0092082F" w:rsidRPr="00146EE7" w:rsidRDefault="0092082F" w:rsidP="0092082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Zhotovitel</w:t>
      </w:r>
    </w:p>
    <w:p w:rsidR="0092082F" w:rsidRPr="00A47A18" w:rsidRDefault="0092082F" w:rsidP="0092082F">
      <w:pPr>
        <w:tabs>
          <w:tab w:val="left" w:pos="6300"/>
        </w:tabs>
        <w:rPr>
          <w:sz w:val="21"/>
          <w:szCs w:val="21"/>
          <w:highlight w:val="yellow"/>
        </w:rPr>
      </w:pPr>
      <w:r w:rsidRPr="00A47A18">
        <w:rPr>
          <w:b/>
          <w:sz w:val="21"/>
          <w:szCs w:val="21"/>
          <w:highlight w:val="yellow"/>
        </w:rPr>
        <w:t>…………………………………….</w:t>
      </w:r>
    </w:p>
    <w:p w:rsidR="0092082F" w:rsidRPr="00A47A18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A47A18">
        <w:rPr>
          <w:sz w:val="22"/>
          <w:szCs w:val="22"/>
          <w:highlight w:val="yellow"/>
        </w:rPr>
        <w:t>sídlem ……………………………</w:t>
      </w:r>
      <w:r w:rsidRPr="00A47A18">
        <w:rPr>
          <w:sz w:val="22"/>
          <w:szCs w:val="22"/>
          <w:highlight w:val="yellow"/>
        </w:rPr>
        <w:tab/>
        <w:t>IČO …………………</w:t>
      </w:r>
      <w:proofErr w:type="gramStart"/>
      <w:r w:rsidRPr="00A47A18">
        <w:rPr>
          <w:sz w:val="22"/>
          <w:szCs w:val="22"/>
          <w:highlight w:val="yellow"/>
        </w:rPr>
        <w:t>…...</w:t>
      </w:r>
      <w:proofErr w:type="gramEnd"/>
    </w:p>
    <w:p w:rsidR="0092082F" w:rsidRPr="00A47A18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A47A18">
        <w:rPr>
          <w:sz w:val="22"/>
          <w:szCs w:val="22"/>
          <w:highlight w:val="yellow"/>
        </w:rPr>
        <w:t>zapsaná u ………………………</w:t>
      </w:r>
      <w:r w:rsidRPr="00A47A18">
        <w:rPr>
          <w:sz w:val="22"/>
          <w:szCs w:val="22"/>
          <w:highlight w:val="yellow"/>
        </w:rPr>
        <w:tab/>
        <w:t>oddíl …, vložka ……….</w:t>
      </w:r>
    </w:p>
    <w:p w:rsidR="0092082F" w:rsidRPr="00254C5F" w:rsidRDefault="0092082F" w:rsidP="0092082F">
      <w:pPr>
        <w:tabs>
          <w:tab w:val="left" w:pos="6300"/>
        </w:tabs>
        <w:rPr>
          <w:sz w:val="22"/>
          <w:szCs w:val="22"/>
        </w:rPr>
      </w:pPr>
      <w:r w:rsidRPr="00A47A18">
        <w:rPr>
          <w:sz w:val="22"/>
          <w:szCs w:val="22"/>
          <w:highlight w:val="yellow"/>
        </w:rPr>
        <w:t>zastoupena ………………………</w:t>
      </w:r>
    </w:p>
    <w:p w:rsidR="0092082F" w:rsidRDefault="0092082F" w:rsidP="0092082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F34C28" w:rsidRPr="00A47A18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8564B8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8564B8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 xml:space="preserve">ěn provádět hlavní prohlídky mostů v souladu s Metodickým pokynem MDS Oprávnění k výkonu prohlídek mostů pozemních komunikací (MDS –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>: 18 162/98-120 z 3.</w:t>
      </w:r>
      <w:r w:rsidR="00EA6E29">
        <w:rPr>
          <w:sz w:val="22"/>
          <w:szCs w:val="22"/>
        </w:rPr>
        <w:t xml:space="preserve"> </w:t>
      </w:r>
      <w:r>
        <w:rPr>
          <w:sz w:val="22"/>
          <w:szCs w:val="22"/>
        </w:rPr>
        <w:t>3.</w:t>
      </w:r>
      <w:r w:rsidR="00EA6E29">
        <w:rPr>
          <w:sz w:val="22"/>
          <w:szCs w:val="22"/>
        </w:rPr>
        <w:t xml:space="preserve"> 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E2538C" w:rsidRDefault="0092082F" w:rsidP="008564B8">
      <w:pPr>
        <w:spacing w:before="60" w:after="60"/>
        <w:ind w:left="426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Osobou, která bude provádět hlavní prohlídky mostů je</w:t>
      </w:r>
      <w:r w:rsidR="004C75ED" w:rsidRPr="00E2538C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 xml:space="preserve"> </w:t>
      </w:r>
      <w:r w:rsidRPr="00EA6E29">
        <w:rPr>
          <w:sz w:val="22"/>
          <w:szCs w:val="22"/>
          <w:highlight w:val="yellow"/>
        </w:rPr>
        <w:t>………………</w:t>
      </w:r>
      <w:r w:rsidRPr="008564B8">
        <w:rPr>
          <w:sz w:val="22"/>
          <w:szCs w:val="22"/>
          <w:highlight w:val="yellow"/>
        </w:rPr>
        <w:t>.</w:t>
      </w:r>
      <w:r w:rsidRPr="00E2538C">
        <w:rPr>
          <w:sz w:val="22"/>
          <w:szCs w:val="22"/>
        </w:rPr>
        <w:t xml:space="preserve">, kopie oprávnění k výkonu prohlídek mostů pozemních komunikací je přílohou č. 2 </w:t>
      </w:r>
      <w:proofErr w:type="gramStart"/>
      <w:r w:rsidRPr="00E2538C">
        <w:rPr>
          <w:sz w:val="22"/>
          <w:szCs w:val="22"/>
        </w:rPr>
        <w:t>této</w:t>
      </w:r>
      <w:proofErr w:type="gramEnd"/>
      <w:r w:rsidRPr="00E2538C">
        <w:rPr>
          <w:sz w:val="22"/>
          <w:szCs w:val="22"/>
        </w:rPr>
        <w:t xml:space="preserve"> smlouvy</w:t>
      </w:r>
      <w:r w:rsidR="00B829AC" w:rsidRPr="00E2538C">
        <w:rPr>
          <w:sz w:val="22"/>
          <w:szCs w:val="22"/>
        </w:rPr>
        <w:t>.</w:t>
      </w:r>
    </w:p>
    <w:p w:rsidR="00637E24" w:rsidRPr="00E2538C" w:rsidRDefault="00637E24" w:rsidP="008564B8">
      <w:pPr>
        <w:spacing w:before="60" w:after="60"/>
        <w:ind w:left="426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E2538C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EA6E29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5F155C" w:rsidRPr="00614C07" w:rsidRDefault="005F155C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14C07">
        <w:rPr>
          <w:sz w:val="22"/>
          <w:szCs w:val="22"/>
        </w:rPr>
        <w:t xml:space="preserve">o provádění jednotlivých prohlídek mostů </w:t>
      </w:r>
      <w:r w:rsidR="00196657" w:rsidRPr="00614C07">
        <w:rPr>
          <w:sz w:val="22"/>
          <w:szCs w:val="22"/>
        </w:rPr>
        <w:t xml:space="preserve">informovat </w:t>
      </w:r>
      <w:r w:rsidRPr="00614C07">
        <w:rPr>
          <w:sz w:val="22"/>
          <w:szCs w:val="22"/>
        </w:rPr>
        <w:t xml:space="preserve">zástupce objednatele </w:t>
      </w:r>
      <w:r w:rsidR="006A1C8B" w:rsidRPr="00614C07">
        <w:rPr>
          <w:sz w:val="22"/>
          <w:szCs w:val="22"/>
        </w:rPr>
        <w:t xml:space="preserve">– </w:t>
      </w:r>
      <w:r w:rsidR="00716AF2">
        <w:rPr>
          <w:sz w:val="22"/>
          <w:szCs w:val="22"/>
        </w:rPr>
        <w:t>Aleš Donát</w:t>
      </w:r>
      <w:r w:rsidRPr="00614C07">
        <w:rPr>
          <w:sz w:val="22"/>
          <w:szCs w:val="22"/>
        </w:rPr>
        <w:t xml:space="preserve">, </w:t>
      </w:r>
      <w:r w:rsidR="00F34C28" w:rsidRPr="00614C07">
        <w:rPr>
          <w:sz w:val="22"/>
          <w:szCs w:val="22"/>
        </w:rPr>
        <w:t>e-</w:t>
      </w:r>
      <w:r w:rsidRPr="00614C07">
        <w:rPr>
          <w:sz w:val="22"/>
          <w:szCs w:val="22"/>
        </w:rPr>
        <w:t>mail</w:t>
      </w:r>
      <w:r w:rsidR="00F34C28" w:rsidRPr="00614C07">
        <w:rPr>
          <w:sz w:val="22"/>
          <w:szCs w:val="22"/>
        </w:rPr>
        <w:t>:</w:t>
      </w:r>
      <w:r w:rsidRPr="00614C07">
        <w:rPr>
          <w:sz w:val="22"/>
          <w:szCs w:val="22"/>
        </w:rPr>
        <w:t xml:space="preserve"> </w:t>
      </w:r>
      <w:hyperlink r:id="rId8" w:history="1">
        <w:r w:rsidR="00716AF2" w:rsidRPr="001776DC">
          <w:rPr>
            <w:rStyle w:val="Hypertextovodkaz"/>
            <w:sz w:val="22"/>
            <w:szCs w:val="22"/>
          </w:rPr>
          <w:t>ales.donat@susjmk.cz</w:t>
        </w:r>
      </w:hyperlink>
      <w:r w:rsidR="006A1C8B" w:rsidRPr="00614C07">
        <w:rPr>
          <w:sz w:val="22"/>
          <w:szCs w:val="22"/>
        </w:rPr>
        <w:t>, tel</w:t>
      </w:r>
      <w:r w:rsidR="00EE086A">
        <w:rPr>
          <w:sz w:val="22"/>
          <w:szCs w:val="22"/>
        </w:rPr>
        <w:t>.</w:t>
      </w:r>
      <w:r w:rsidR="003406FE">
        <w:rPr>
          <w:sz w:val="22"/>
          <w:szCs w:val="22"/>
        </w:rPr>
        <w:t xml:space="preserve"> </w:t>
      </w:r>
      <w:r w:rsidR="00EA6E29">
        <w:rPr>
          <w:sz w:val="22"/>
          <w:szCs w:val="22"/>
        </w:rPr>
        <w:t xml:space="preserve">+420 </w:t>
      </w:r>
      <w:r w:rsidR="00716AF2">
        <w:rPr>
          <w:sz w:val="22"/>
          <w:szCs w:val="22"/>
        </w:rPr>
        <w:t>737 237 107</w:t>
      </w:r>
      <w:r w:rsidR="00C615E9" w:rsidRPr="00614C07">
        <w:rPr>
          <w:sz w:val="22"/>
          <w:szCs w:val="22"/>
        </w:rPr>
        <w:t>,</w:t>
      </w:r>
    </w:p>
    <w:p w:rsidR="005F155C" w:rsidRPr="001435FC" w:rsidRDefault="005F155C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855C55" w:rsidRDefault="00196657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 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855C55" w:rsidRDefault="00227971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855C55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855C55">
        <w:rPr>
          <w:sz w:val="22"/>
          <w:szCs w:val="22"/>
        </w:rPr>
        <w:t xml:space="preserve"> nutnosti provedení neodkladného opatření</w:t>
      </w:r>
      <w:r w:rsidR="00EE086A" w:rsidRPr="00855C55">
        <w:rPr>
          <w:sz w:val="22"/>
          <w:szCs w:val="22"/>
        </w:rPr>
        <w:t>, včetně návrhu opatření</w:t>
      </w:r>
      <w:r w:rsidR="00433100" w:rsidRPr="00855C55">
        <w:rPr>
          <w:sz w:val="22"/>
          <w:szCs w:val="22"/>
        </w:rPr>
        <w:t xml:space="preserve"> k odstranění mimořádné události</w:t>
      </w:r>
      <w:r w:rsidR="00380EF9">
        <w:rPr>
          <w:sz w:val="22"/>
          <w:szCs w:val="22"/>
        </w:rPr>
        <w:t>,</w:t>
      </w:r>
    </w:p>
    <w:p w:rsidR="00196657" w:rsidRPr="001435FC" w:rsidRDefault="00196657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lastRenderedPageBreak/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</w:t>
      </w:r>
      <w:r w:rsidR="00EA6E29">
        <w:rPr>
          <w:sz w:val="22"/>
          <w:szCs w:val="22"/>
        </w:rPr>
        <w:t> </w:t>
      </w:r>
      <w:r w:rsidRPr="00EE086A">
        <w:rPr>
          <w:sz w:val="22"/>
          <w:szCs w:val="22"/>
        </w:rPr>
        <w:t>zlepšení stavebního stavu,</w:t>
      </w:r>
    </w:p>
    <w:p w:rsidR="00EE086A" w:rsidRDefault="00EE086A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v případě, že dojde u některého z mostů, na němž bude provedena hlavní prohlídka ke snížení stavebního stavu, nebo snížení zatížitelnosti mostu, bude zpracován písemný posudek s</w:t>
      </w:r>
      <w:r w:rsidR="00EA6E29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201</w:t>
      </w:r>
      <w:r w:rsidR="00D0048B">
        <w:rPr>
          <w:sz w:val="22"/>
          <w:szCs w:val="22"/>
        </w:rPr>
        <w:t>8</w:t>
      </w:r>
      <w:r w:rsidR="00433100">
        <w:rPr>
          <w:sz w:val="22"/>
          <w:szCs w:val="22"/>
        </w:rPr>
        <w:t xml:space="preserve"> bude zpracováno do tabulky dle přílohy č. 3 </w:t>
      </w:r>
      <w:proofErr w:type="gramStart"/>
      <w:r w:rsidR="00433100">
        <w:rPr>
          <w:sz w:val="22"/>
          <w:szCs w:val="22"/>
        </w:rPr>
        <w:t>této</w:t>
      </w:r>
      <w:proofErr w:type="gramEnd"/>
      <w:r w:rsidR="00433100">
        <w:rPr>
          <w:sz w:val="22"/>
          <w:szCs w:val="22"/>
        </w:rPr>
        <w:t xml:space="preserve"> smlouvy, včetně zpracování písemného posudku s odůvodněním snížení stavebního stavu nebo zatížitelnosti,</w:t>
      </w:r>
    </w:p>
    <w:p w:rsidR="006A1C8B" w:rsidRPr="001435FC" w:rsidRDefault="006A1C8B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="00090742">
        <w:rPr>
          <w:sz w:val="22"/>
          <w:szCs w:val="22"/>
        </w:rPr>
        <w:t xml:space="preserve"> 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EA6E29">
        <w:rPr>
          <w:sz w:val="22"/>
          <w:szCs w:val="22"/>
        </w:rPr>
        <w:t>.</w:t>
      </w:r>
    </w:p>
    <w:p w:rsidR="0012360C" w:rsidRPr="00227971" w:rsidRDefault="0012360C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E2538C" w:rsidRDefault="00AF125D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Výstupy z hlavních prohlídek mostů budou předány na základě písemné</w:t>
      </w:r>
      <w:r w:rsidR="00614C07" w:rsidRPr="00E2538C">
        <w:rPr>
          <w:sz w:val="22"/>
          <w:szCs w:val="22"/>
        </w:rPr>
        <w:t>ho protokolu</w:t>
      </w:r>
      <w:r w:rsidRPr="00E2538C">
        <w:rPr>
          <w:sz w:val="22"/>
          <w:szCs w:val="22"/>
        </w:rPr>
        <w:t>. Místem plnění je</w:t>
      </w:r>
      <w:r w:rsidR="00EA6E29">
        <w:rPr>
          <w:sz w:val="22"/>
          <w:szCs w:val="22"/>
        </w:rPr>
        <w:t> </w:t>
      </w:r>
      <w:r w:rsidR="006A1C8B" w:rsidRPr="00E2538C">
        <w:rPr>
          <w:sz w:val="22"/>
          <w:szCs w:val="22"/>
        </w:rPr>
        <w:t xml:space="preserve">SÚS JMK, </w:t>
      </w:r>
      <w:r w:rsidR="00A727E6" w:rsidRPr="00E2538C">
        <w:rPr>
          <w:sz w:val="22"/>
          <w:szCs w:val="22"/>
        </w:rPr>
        <w:t>Oblast Jih</w:t>
      </w:r>
      <w:r w:rsidR="00383A98" w:rsidRPr="00E2538C">
        <w:rPr>
          <w:sz w:val="22"/>
          <w:szCs w:val="22"/>
        </w:rPr>
        <w:t>,</w:t>
      </w:r>
      <w:r w:rsidR="00A727E6" w:rsidRPr="00E2538C">
        <w:rPr>
          <w:sz w:val="22"/>
          <w:szCs w:val="22"/>
        </w:rPr>
        <w:t xml:space="preserve"> Lidická 3446/132A, 690 03 Břeclav</w:t>
      </w:r>
      <w:r w:rsidR="00AF6A7B" w:rsidRPr="008564B8">
        <w:rPr>
          <w:sz w:val="22"/>
          <w:szCs w:val="22"/>
        </w:rPr>
        <w:t>.</w:t>
      </w:r>
    </w:p>
    <w:p w:rsidR="00627222" w:rsidRPr="00E2538C" w:rsidRDefault="00637E24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Zhotovitel je povinen do 14 dnů od účinnosti této smlouvy předávat objednateli harmonogram provádění jednotlivých prohlídek. </w:t>
      </w:r>
      <w:r w:rsidR="00627222" w:rsidRPr="00E2538C">
        <w:rPr>
          <w:sz w:val="22"/>
          <w:szCs w:val="22"/>
        </w:rPr>
        <w:t>Tento harmonogram je platný po písemném schválení objednatelem. Změny harmonogramu jsou možné pouze po písemném souhlasu objednatele.</w:t>
      </w:r>
    </w:p>
    <w:p w:rsidR="00637E24" w:rsidRPr="00E2538C" w:rsidRDefault="00637E24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Termíny plnění:</w:t>
      </w:r>
    </w:p>
    <w:p w:rsidR="00637E24" w:rsidRPr="00E2538C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Fyzické prohlídky </w:t>
      </w:r>
      <w:r w:rsidRPr="00E2538C">
        <w:rPr>
          <w:b/>
          <w:sz w:val="22"/>
          <w:szCs w:val="22"/>
        </w:rPr>
        <w:t>do 30.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>6.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 xml:space="preserve">2018. </w:t>
      </w:r>
    </w:p>
    <w:p w:rsidR="000F4332" w:rsidRPr="00E2538C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Do </w:t>
      </w:r>
      <w:r w:rsidRPr="00E2538C">
        <w:rPr>
          <w:b/>
          <w:sz w:val="22"/>
          <w:szCs w:val="22"/>
        </w:rPr>
        <w:t>15.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>7.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 xml:space="preserve">2018 </w:t>
      </w:r>
      <w:r w:rsidRPr="00E2538C">
        <w:rPr>
          <w:sz w:val="22"/>
          <w:szCs w:val="22"/>
        </w:rPr>
        <w:t xml:space="preserve">bude předložen seznam mostů, u kterých bude navrhován nový stavební stav spodní stavby nebo nosné konstrukce ve stupni 6 nebo 7 </w:t>
      </w:r>
      <w:r w:rsidR="000F4332" w:rsidRPr="00415BA8">
        <w:rPr>
          <w:sz w:val="22"/>
          <w:szCs w:val="22"/>
        </w:rPr>
        <w:t xml:space="preserve">navrhne nejnutnější opatření, která po provedení těchto </w:t>
      </w:r>
      <w:r w:rsidR="000F4332" w:rsidRPr="00E2538C">
        <w:t>opatření nesníží stávající stavební stav spodní stavby nebo nosné konstrukce.</w:t>
      </w:r>
    </w:p>
    <w:p w:rsidR="00637E24" w:rsidRPr="000F4332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0F4332">
        <w:rPr>
          <w:sz w:val="22"/>
          <w:szCs w:val="22"/>
        </w:rPr>
        <w:t>Předání konceptů výstupu z hlavních prohlídek mostů</w:t>
      </w:r>
      <w:r w:rsidR="00EA6E29">
        <w:rPr>
          <w:sz w:val="22"/>
          <w:szCs w:val="22"/>
        </w:rPr>
        <w:t xml:space="preserve"> - </w:t>
      </w:r>
      <w:r w:rsidRPr="000F4332">
        <w:rPr>
          <w:sz w:val="22"/>
          <w:szCs w:val="22"/>
        </w:rPr>
        <w:t xml:space="preserve">nejpozději </w:t>
      </w:r>
      <w:r w:rsidRPr="000F4332">
        <w:rPr>
          <w:b/>
          <w:sz w:val="22"/>
          <w:szCs w:val="22"/>
        </w:rPr>
        <w:t>do 30. 11. 2018.</w:t>
      </w:r>
      <w:r w:rsidRPr="000F4332">
        <w:rPr>
          <w:sz w:val="22"/>
          <w:szCs w:val="22"/>
        </w:rPr>
        <w:t xml:space="preserve"> </w:t>
      </w:r>
    </w:p>
    <w:p w:rsidR="00637E24" w:rsidRPr="002A173C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2A173C">
        <w:rPr>
          <w:sz w:val="22"/>
          <w:szCs w:val="22"/>
        </w:rPr>
        <w:t>Objednatel se ke konceptům vyjádří nejpozději do 10 kalendářních dnů od předání.</w:t>
      </w:r>
    </w:p>
    <w:p w:rsidR="00637E24" w:rsidRPr="00544898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2A173C">
        <w:rPr>
          <w:sz w:val="22"/>
          <w:szCs w:val="22"/>
        </w:rPr>
        <w:t>Předání čistopisů výstupů z hlavních prohlídek mostů</w:t>
      </w:r>
      <w:r w:rsidR="00EA6E29">
        <w:rPr>
          <w:sz w:val="22"/>
          <w:szCs w:val="22"/>
        </w:rPr>
        <w:t xml:space="preserve"> - </w:t>
      </w:r>
      <w:r w:rsidRPr="002A173C">
        <w:rPr>
          <w:sz w:val="22"/>
          <w:szCs w:val="22"/>
        </w:rPr>
        <w:t xml:space="preserve">nejpozději </w:t>
      </w:r>
      <w:r w:rsidRPr="002A173C">
        <w:rPr>
          <w:b/>
          <w:sz w:val="22"/>
          <w:szCs w:val="22"/>
        </w:rPr>
        <w:t xml:space="preserve">do </w:t>
      </w:r>
      <w:r>
        <w:rPr>
          <w:b/>
          <w:sz w:val="22"/>
          <w:szCs w:val="22"/>
        </w:rPr>
        <w:t>17. 12</w:t>
      </w:r>
      <w:r w:rsidRPr="002A173C">
        <w:rPr>
          <w:b/>
          <w:sz w:val="22"/>
          <w:szCs w:val="22"/>
        </w:rPr>
        <w:t>. 201</w:t>
      </w:r>
      <w:r>
        <w:rPr>
          <w:b/>
          <w:sz w:val="22"/>
          <w:szCs w:val="22"/>
        </w:rPr>
        <w:t>8</w:t>
      </w:r>
      <w:r w:rsidRPr="002A173C">
        <w:rPr>
          <w:b/>
          <w:sz w:val="22"/>
          <w:szCs w:val="22"/>
        </w:rPr>
        <w:t>.</w:t>
      </w:r>
    </w:p>
    <w:p w:rsidR="00544898" w:rsidRPr="00637E24" w:rsidRDefault="00544898" w:rsidP="00544898">
      <w:pPr>
        <w:ind w:left="720"/>
        <w:jc w:val="both"/>
        <w:rPr>
          <w:sz w:val="22"/>
          <w:szCs w:val="22"/>
        </w:rPr>
      </w:pPr>
    </w:p>
    <w:p w:rsidR="00AF125D" w:rsidRPr="00DE3920" w:rsidRDefault="00AF125D" w:rsidP="00AF125D">
      <w:pPr>
        <w:ind w:left="720"/>
        <w:jc w:val="both"/>
        <w:rPr>
          <w:sz w:val="8"/>
          <w:szCs w:val="8"/>
        </w:rPr>
      </w:pPr>
    </w:p>
    <w:p w:rsidR="00A03413" w:rsidRPr="00DE3920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DE3920">
        <w:rPr>
          <w:b/>
          <w:smallCaps/>
          <w:sz w:val="22"/>
          <w:szCs w:val="22"/>
        </w:rPr>
        <w:t>Odměna a platební podmínky</w:t>
      </w:r>
    </w:p>
    <w:p w:rsidR="00A03413" w:rsidRPr="007F4321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F932C6">
        <w:trPr>
          <w:trHeight w:val="304"/>
        </w:trPr>
        <w:tc>
          <w:tcPr>
            <w:tcW w:w="6549" w:type="dxa"/>
          </w:tcPr>
          <w:p w:rsidR="00A03413" w:rsidRPr="007F4321" w:rsidRDefault="00A03413" w:rsidP="00A47A18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r w:rsidR="00A47A18">
              <w:rPr>
                <w:b/>
                <w:sz w:val="22"/>
                <w:szCs w:val="22"/>
              </w:rPr>
              <w:t>vč.</w:t>
            </w:r>
            <w:r w:rsidRPr="007F4321">
              <w:rPr>
                <w:b/>
                <w:sz w:val="22"/>
                <w:szCs w:val="22"/>
              </w:rPr>
              <w:t xml:space="preserve"> DPH </w:t>
            </w:r>
          </w:p>
        </w:tc>
        <w:tc>
          <w:tcPr>
            <w:tcW w:w="2811" w:type="dxa"/>
          </w:tcPr>
          <w:p w:rsidR="00A03413" w:rsidRPr="007F4321" w:rsidRDefault="00A03413" w:rsidP="00F932C6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A03413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04FFE">
        <w:rPr>
          <w:sz w:val="22"/>
          <w:szCs w:val="22"/>
        </w:rPr>
        <w:t xml:space="preserve"> Kalkulace na jednotlivé mosty je uvedena v příloze č. 1 této smlouvy.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BB4398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EA6E29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8564B8">
        <w:rPr>
          <w:b/>
          <w:sz w:val="22"/>
          <w:szCs w:val="22"/>
        </w:rPr>
        <w:t>faktury@susjmk.cz</w:t>
      </w:r>
      <w:r w:rsidRPr="008564B8">
        <w:rPr>
          <w:sz w:val="22"/>
          <w:szCs w:val="22"/>
        </w:rPr>
        <w:t>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Zálohové platby se nesjednávají.</w:t>
      </w:r>
    </w:p>
    <w:p w:rsidR="00AF125D" w:rsidRPr="007F4321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A47A18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8564B8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8564B8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8564B8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 w:rsidRPr="008564B8">
        <w:rPr>
          <w:sz w:val="22"/>
          <w:szCs w:val="22"/>
        </w:rPr>
        <w:t>.</w:t>
      </w:r>
    </w:p>
    <w:p w:rsidR="00A33628" w:rsidRPr="00A47A18" w:rsidRDefault="00A33628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7F4321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až do výše 5.000,- Kč za </w:t>
      </w:r>
      <w:r>
        <w:rPr>
          <w:sz w:val="22"/>
          <w:szCs w:val="22"/>
        </w:rPr>
        <w:t xml:space="preserve">každé </w:t>
      </w:r>
      <w:r w:rsidRPr="007F4321">
        <w:rPr>
          <w:sz w:val="22"/>
          <w:szCs w:val="22"/>
        </w:rPr>
        <w:t>porušení povinností vyplývajících z ustanov</w:t>
      </w:r>
      <w:r>
        <w:rPr>
          <w:sz w:val="22"/>
          <w:szCs w:val="22"/>
        </w:rPr>
        <w:t>ení v čl. II</w:t>
      </w:r>
      <w:r w:rsidRPr="007F4321">
        <w:rPr>
          <w:sz w:val="22"/>
          <w:szCs w:val="22"/>
        </w:rPr>
        <w:t xml:space="preserve">. </w:t>
      </w:r>
      <w:r>
        <w:rPr>
          <w:sz w:val="22"/>
          <w:szCs w:val="22"/>
        </w:rPr>
        <w:t>odst. 2.</w:t>
      </w:r>
      <w:r w:rsidR="002A18F1">
        <w:rPr>
          <w:sz w:val="22"/>
          <w:szCs w:val="22"/>
        </w:rPr>
        <w:t xml:space="preserve"> a 7</w:t>
      </w:r>
      <w:r w:rsidR="00BB439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této smlouvy.</w:t>
      </w:r>
    </w:p>
    <w:p w:rsidR="00A03413" w:rsidRPr="007F4321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Smluvní pokuty jsou splatné na základě faktury se splatností 14 dnů.</w:t>
      </w:r>
    </w:p>
    <w:p w:rsidR="007A2E5D" w:rsidRPr="001F35F6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A47A18" w:rsidRDefault="00F72422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B6EF7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obdrží po </w:t>
      </w:r>
      <w:r w:rsidR="005F6482">
        <w:rPr>
          <w:sz w:val="22"/>
          <w:szCs w:val="22"/>
        </w:rPr>
        <w:t>jednom</w:t>
      </w:r>
      <w:r w:rsidRPr="008B6EF7">
        <w:rPr>
          <w:sz w:val="22"/>
          <w:szCs w:val="22"/>
        </w:rPr>
        <w:t xml:space="preserve"> vyhotovení.</w:t>
      </w:r>
    </w:p>
    <w:p w:rsidR="00A03413" w:rsidRPr="008B6EF7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4C1163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4C1163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A03413" w:rsidRPr="00E2538C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E2538C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Zhotovitel bere na vědomí, že je osobou povinnou spolupůsobit při výkonu finanční kontroly.</w:t>
      </w:r>
    </w:p>
    <w:p w:rsidR="00A03413" w:rsidRPr="00E2538C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Zhotovitel souhlasí s případným zveřejněním informací o této smlouvě dle zákona č. 106/1999 Sb., o svobodném přístupu k informacím, ve znění pozdějších </w:t>
      </w:r>
      <w:r w:rsidR="004C1163">
        <w:rPr>
          <w:sz w:val="22"/>
          <w:szCs w:val="22"/>
        </w:rPr>
        <w:t>změn</w:t>
      </w:r>
      <w:r w:rsidRPr="00E2538C">
        <w:rPr>
          <w:sz w:val="22"/>
          <w:szCs w:val="22"/>
        </w:rPr>
        <w:t>.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Zhotovitel dále souhlasí se zveřejněním celé smlouvy včetně všech příloh, jejich dodatků a skutečně uhrazené ceny na protikorupčním portále Jihomoravského kraje, tj. zřizovatele objednatele.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Tato smlouva podléhá povinnosti zveřejnění dle zákona č. 340/2015 Sb. o registru smluv, ve znění pozdějších předpisů. Zveřejnění smlouvy zajišťuje objednatel. Zhotovitel označil tyto jmenovitě uvedená data za citlivá, která nepodléhají zveřejnění:</w:t>
      </w:r>
      <w:r w:rsidR="004C1163">
        <w:rPr>
          <w:sz w:val="22"/>
          <w:szCs w:val="22"/>
        </w:rPr>
        <w:t xml:space="preserve"> </w:t>
      </w:r>
      <w:r w:rsidRPr="004C1163">
        <w:rPr>
          <w:sz w:val="22"/>
          <w:szCs w:val="22"/>
          <w:highlight w:val="yellow"/>
        </w:rPr>
        <w:t>…………………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lastRenderedPageBreak/>
        <w:t>Tato smlouva je uzavřena dnem podpisu druhou smluvní stranou. Tato smlouvy je účinná dnem uveřejnění v registru smluv.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 w:rsidRPr="00E2538C">
        <w:rPr>
          <w:sz w:val="22"/>
          <w:szCs w:val="22"/>
        </w:rPr>
        <w:t>ust</w:t>
      </w:r>
      <w:proofErr w:type="spellEnd"/>
      <w:r w:rsidRPr="00E2538C">
        <w:rPr>
          <w:sz w:val="22"/>
          <w:szCs w:val="22"/>
        </w:rPr>
        <w:t>. §</w:t>
      </w:r>
      <w:r w:rsidR="004C1163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>1921, §</w:t>
      </w:r>
      <w:r w:rsidR="004C1163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>1978</w:t>
      </w:r>
      <w:r w:rsidR="004C1163" w:rsidRPr="00E2538C">
        <w:rPr>
          <w:sz w:val="22"/>
          <w:szCs w:val="22"/>
        </w:rPr>
        <w:t>,</w:t>
      </w:r>
      <w:r w:rsidR="004C1163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>§</w:t>
      </w:r>
      <w:r w:rsidR="004C1163">
        <w:rPr>
          <w:sz w:val="22"/>
          <w:szCs w:val="22"/>
        </w:rPr>
        <w:t> </w:t>
      </w:r>
      <w:r w:rsidRPr="00E2538C">
        <w:rPr>
          <w:sz w:val="22"/>
          <w:szCs w:val="22"/>
        </w:rPr>
        <w:t>2595, § 2611 občanského zákoníku.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Nedílnou součástí této smlouvy jsou přílohy:</w:t>
      </w:r>
    </w:p>
    <w:p w:rsidR="00637E24" w:rsidRPr="00E2538C" w:rsidRDefault="00637E24" w:rsidP="00415BA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specifikace mostů a kalkulace cen.</w:t>
      </w:r>
    </w:p>
    <w:p w:rsidR="00637E24" w:rsidRDefault="00637E24" w:rsidP="00415BA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493619">
        <w:rPr>
          <w:sz w:val="22"/>
          <w:szCs w:val="22"/>
        </w:rPr>
        <w:t>kopie oprávnění k hlavním prohlídkám mostů.</w:t>
      </w:r>
    </w:p>
    <w:p w:rsidR="009058D3" w:rsidRDefault="00637E24" w:rsidP="00415BA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493619">
        <w:rPr>
          <w:sz w:val="22"/>
          <w:szCs w:val="22"/>
        </w:rPr>
        <w:t>vyhodnocení HPM 201</w:t>
      </w:r>
      <w:r>
        <w:rPr>
          <w:sz w:val="22"/>
          <w:szCs w:val="22"/>
        </w:rPr>
        <w:t>8.</w:t>
      </w:r>
      <w:r w:rsidRPr="00493619">
        <w:rPr>
          <w:sz w:val="22"/>
          <w:szCs w:val="22"/>
        </w:rPr>
        <w:t xml:space="preserve"> </w:t>
      </w:r>
      <w:r w:rsidRPr="00493619">
        <w:rPr>
          <w:sz w:val="22"/>
          <w:szCs w:val="22"/>
        </w:rPr>
        <w:tab/>
      </w:r>
    </w:p>
    <w:p w:rsidR="00544898" w:rsidRDefault="00544898" w:rsidP="00415BA8">
      <w:pPr>
        <w:widowControl w:val="0"/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</w:p>
    <w:p w:rsidR="00544898" w:rsidRPr="00544898" w:rsidRDefault="00544898" w:rsidP="0054489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380EF9" w:rsidRDefault="00380EF9" w:rsidP="00A47A18">
            <w:pPr>
              <w:tabs>
                <w:tab w:val="left" w:pos="6300"/>
              </w:tabs>
              <w:spacing w:before="120" w:after="120"/>
              <w:rPr>
                <w:sz w:val="21"/>
                <w:szCs w:val="21"/>
                <w:highlight w:val="yellow"/>
              </w:rPr>
            </w:pPr>
          </w:p>
          <w:p w:rsidR="00661075" w:rsidRPr="003A3785" w:rsidRDefault="00661075" w:rsidP="00A47A18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A47A18">
              <w:rPr>
                <w:sz w:val="21"/>
                <w:szCs w:val="21"/>
                <w:highlight w:val="yellow"/>
              </w:rPr>
              <w:t>V</w:t>
            </w:r>
            <w:r w:rsidR="007C102B" w:rsidRPr="00A47A18">
              <w:rPr>
                <w:sz w:val="21"/>
                <w:szCs w:val="21"/>
                <w:highlight w:val="yellow"/>
              </w:rPr>
              <w:t xml:space="preserve"> </w:t>
            </w:r>
            <w:r w:rsidR="00A47A18" w:rsidRPr="00A47A18">
              <w:rPr>
                <w:sz w:val="21"/>
                <w:szCs w:val="21"/>
                <w:highlight w:val="yellow"/>
              </w:rPr>
              <w:t>……</w:t>
            </w:r>
            <w:proofErr w:type="gramStart"/>
            <w:r w:rsidR="00A47A18" w:rsidRPr="00A47A18">
              <w:rPr>
                <w:sz w:val="21"/>
                <w:szCs w:val="21"/>
                <w:highlight w:val="yellow"/>
              </w:rPr>
              <w:t>…..</w:t>
            </w:r>
            <w:r w:rsidRPr="00A47A18">
              <w:rPr>
                <w:sz w:val="21"/>
                <w:szCs w:val="21"/>
                <w:highlight w:val="yellow"/>
              </w:rPr>
              <w:t>, dne</w:t>
            </w:r>
            <w:proofErr w:type="gramEnd"/>
            <w:r w:rsidR="007C102B" w:rsidRPr="00A47A18">
              <w:rPr>
                <w:sz w:val="21"/>
                <w:szCs w:val="21"/>
                <w:highlight w:val="yellow"/>
              </w:rPr>
              <w:t xml:space="preserve"> </w:t>
            </w:r>
            <w:r w:rsidR="00A47A18" w:rsidRPr="00A47A18">
              <w:rPr>
                <w:sz w:val="21"/>
                <w:szCs w:val="21"/>
                <w:highlight w:val="yellow"/>
              </w:rPr>
              <w:t>……………</w:t>
            </w:r>
          </w:p>
        </w:tc>
        <w:tc>
          <w:tcPr>
            <w:tcW w:w="5105" w:type="dxa"/>
          </w:tcPr>
          <w:p w:rsidR="00380EF9" w:rsidRDefault="00380EF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Pr="003A3785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86546D" w:rsidRDefault="009D6EF3" w:rsidP="003A64EF">
      <w:pPr>
        <w:spacing w:before="120" w:after="120"/>
        <w:jc w:val="both"/>
        <w:rPr>
          <w:sz w:val="16"/>
          <w:szCs w:val="16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A47A18" w:rsidP="003A64E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highlight w:val="yellow"/>
              </w:rPr>
            </w:pPr>
            <w:r>
              <w:rPr>
                <w:b/>
                <w:smallCaps/>
                <w:spacing w:val="20"/>
                <w:highlight w:val="yellow"/>
              </w:rPr>
              <w:t>………………………..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A47A18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A47A18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A47A18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……………………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F932C6" w:rsidRDefault="00F932C6" w:rsidP="003A64EF">
      <w:pPr>
        <w:spacing w:before="120" w:after="120"/>
        <w:jc w:val="both"/>
        <w:rPr>
          <w:sz w:val="22"/>
          <w:szCs w:val="22"/>
        </w:rPr>
      </w:pPr>
    </w:p>
    <w:p w:rsidR="00F932C6" w:rsidRPr="008564B8" w:rsidRDefault="00F932C6" w:rsidP="008564B8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4B8">
        <w:rPr>
          <w:sz w:val="22"/>
          <w:szCs w:val="22"/>
        </w:rPr>
        <w:lastRenderedPageBreak/>
        <w:t>Příloha č. 1 Specifikace mostů a kalkulace cen</w:t>
      </w:r>
    </w:p>
    <w:tbl>
      <w:tblPr>
        <w:tblW w:w="1034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22"/>
        <w:gridCol w:w="299"/>
        <w:gridCol w:w="568"/>
        <w:gridCol w:w="3228"/>
        <w:gridCol w:w="850"/>
        <w:gridCol w:w="709"/>
        <w:gridCol w:w="141"/>
        <w:gridCol w:w="709"/>
        <w:gridCol w:w="883"/>
        <w:gridCol w:w="1134"/>
        <w:gridCol w:w="374"/>
        <w:gridCol w:w="159"/>
      </w:tblGrid>
      <w:tr w:rsidR="00381646" w:rsidRPr="00A727E6" w:rsidTr="00AA4CF6">
        <w:trPr>
          <w:trHeight w:val="255"/>
        </w:trPr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646" w:rsidRDefault="00381646" w:rsidP="00A727E6">
            <w:pPr>
              <w:tabs>
                <w:tab w:val="left" w:pos="1329"/>
              </w:tabs>
              <w:ind w:left="479" w:hanging="479"/>
              <w:rPr>
                <w:b/>
                <w:bCs/>
                <w:sz w:val="22"/>
                <w:szCs w:val="22"/>
                <w:u w:val="single"/>
              </w:rPr>
            </w:pPr>
          </w:p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A727E6">
              <w:rPr>
                <w:b/>
                <w:bCs/>
                <w:sz w:val="22"/>
                <w:szCs w:val="22"/>
                <w:u w:val="single"/>
              </w:rPr>
              <w:t>Cestmistrovství</w:t>
            </w:r>
            <w:proofErr w:type="spellEnd"/>
            <w:r w:rsidRPr="00A727E6">
              <w:rPr>
                <w:b/>
                <w:bCs/>
                <w:sz w:val="22"/>
                <w:szCs w:val="22"/>
                <w:u w:val="single"/>
              </w:rPr>
              <w:t xml:space="preserve"> Hodonín</w:t>
            </w:r>
          </w:p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2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sz w:val="22"/>
                <w:szCs w:val="22"/>
              </w:rPr>
            </w:pP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AA4CF6" w:rsidRPr="00A727E6" w:rsidRDefault="00AA4CF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A727E6">
              <w:rPr>
                <w:b/>
                <w:bCs/>
                <w:sz w:val="22"/>
                <w:szCs w:val="22"/>
              </w:rPr>
              <w:t>p.č</w:t>
            </w:r>
            <w:proofErr w:type="spellEnd"/>
            <w:r w:rsidRPr="00A727E6">
              <w:rPr>
                <w:b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Evidenční číslo</w:t>
            </w:r>
          </w:p>
        </w:tc>
        <w:tc>
          <w:tcPr>
            <w:tcW w:w="32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AA4CF6" w:rsidRPr="00A727E6" w:rsidRDefault="00AA4CF6" w:rsidP="004446B8">
            <w:pPr>
              <w:jc w:val="center"/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Délka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AA4CF6" w:rsidRPr="00A727E6" w:rsidRDefault="00AA4CF6">
            <w:pPr>
              <w:jc w:val="center"/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Počet polí</w:t>
            </w:r>
          </w:p>
        </w:tc>
        <w:tc>
          <w:tcPr>
            <w:tcW w:w="17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Stavební stav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vč. DPH</w:t>
            </w:r>
          </w:p>
        </w:tc>
      </w:tr>
      <w:tr w:rsidR="00AA4CF6" w:rsidRPr="00A727E6" w:rsidTr="00AA4CF6">
        <w:trPr>
          <w:gridAfter w:val="2"/>
          <w:wAfter w:w="533" w:type="dxa"/>
          <w:trHeight w:val="253"/>
        </w:trPr>
        <w:tc>
          <w:tcPr>
            <w:tcW w:w="4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CF6" w:rsidRPr="00A727E6" w:rsidRDefault="00AA4CF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034a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obcí Velké Bílovice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II</w:t>
            </w:r>
            <w:proofErr w:type="gramEnd"/>
            <w:r>
              <w:rPr>
                <w:sz w:val="22"/>
                <w:szCs w:val="22"/>
              </w:rPr>
              <w:t xml:space="preserve"> –</w:t>
            </w:r>
            <w:proofErr w:type="gramStart"/>
            <w:r>
              <w:rPr>
                <w:sz w:val="22"/>
                <w:szCs w:val="22"/>
              </w:rPr>
              <w:t>velmi</w:t>
            </w:r>
            <w:proofErr w:type="gramEnd"/>
            <w:r>
              <w:rPr>
                <w:sz w:val="22"/>
                <w:szCs w:val="22"/>
              </w:rPr>
              <w:t xml:space="preserve"> dobrý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022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v obci Svatobořice - </w:t>
            </w:r>
            <w:proofErr w:type="spellStart"/>
            <w:r w:rsidRPr="00A727E6">
              <w:rPr>
                <w:sz w:val="22"/>
                <w:szCs w:val="22"/>
              </w:rPr>
              <w:t>Mistřín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 – dobrý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431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v obci Svatobořice  - </w:t>
            </w:r>
            <w:proofErr w:type="spellStart"/>
            <w:r w:rsidRPr="00A727E6">
              <w:rPr>
                <w:sz w:val="22"/>
                <w:szCs w:val="22"/>
              </w:rPr>
              <w:t>Mistřín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 – dobrý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431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za obcí Svatobořice  - </w:t>
            </w:r>
            <w:proofErr w:type="spellStart"/>
            <w:r w:rsidRPr="00A727E6">
              <w:rPr>
                <w:sz w:val="22"/>
                <w:szCs w:val="22"/>
              </w:rPr>
              <w:t>Mistřín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12,01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–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431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za obcí Svatobořice  - </w:t>
            </w:r>
            <w:proofErr w:type="spellStart"/>
            <w:r w:rsidRPr="00A727E6">
              <w:rPr>
                <w:sz w:val="22"/>
                <w:szCs w:val="22"/>
              </w:rPr>
              <w:t>Mistřín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5530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Mikulčice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23,40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419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001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obcí Násedlovice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431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013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Ždánice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549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Sobůlky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8,07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41924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Želetice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41926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Karlín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42222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Dolní Bojanovice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432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040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přes ČD v Hodoníně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31,35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4CF6" w:rsidRPr="00A727E6" w:rsidRDefault="00AA4CF6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A4CF6" w:rsidRPr="00A727E6" w:rsidTr="00AA4CF6">
        <w:trPr>
          <w:gridAfter w:val="2"/>
          <w:wAfter w:w="533" w:type="dxa"/>
          <w:trHeight w:val="270"/>
        </w:trPr>
        <w:tc>
          <w:tcPr>
            <w:tcW w:w="8679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4CF6" w:rsidRPr="00A727E6" w:rsidRDefault="00AA4CF6">
            <w:pPr>
              <w:jc w:val="right"/>
              <w:rPr>
                <w:b/>
                <w:sz w:val="22"/>
                <w:szCs w:val="22"/>
              </w:rPr>
            </w:pPr>
            <w:r w:rsidRPr="00A727E6">
              <w:rPr>
                <w:b/>
                <w:sz w:val="22"/>
                <w:szCs w:val="22"/>
              </w:rPr>
              <w:t>Cena Celkem vč. DPH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4CF6" w:rsidRPr="004446B8" w:rsidRDefault="00AA4CF6">
            <w:pPr>
              <w:rPr>
                <w:sz w:val="22"/>
                <w:szCs w:val="22"/>
                <w:highlight w:val="yellow"/>
              </w:rPr>
            </w:pPr>
            <w:r w:rsidRPr="004446B8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513CA1" w:rsidRPr="004446B8" w:rsidRDefault="004446B8" w:rsidP="003A64EF">
      <w:pPr>
        <w:spacing w:before="120" w:after="120"/>
        <w:jc w:val="both"/>
        <w:rPr>
          <w:b/>
          <w:sz w:val="22"/>
          <w:szCs w:val="22"/>
        </w:rPr>
      </w:pPr>
      <w:proofErr w:type="spellStart"/>
      <w:r w:rsidRPr="004446B8">
        <w:rPr>
          <w:b/>
          <w:sz w:val="22"/>
          <w:szCs w:val="22"/>
        </w:rPr>
        <w:t>Cestmistrovství</w:t>
      </w:r>
      <w:proofErr w:type="spellEnd"/>
      <w:r w:rsidRPr="004446B8">
        <w:rPr>
          <w:b/>
          <w:sz w:val="22"/>
          <w:szCs w:val="22"/>
        </w:rPr>
        <w:t xml:space="preserve"> Veselí nad Moravou</w:t>
      </w:r>
    </w:p>
    <w:tbl>
      <w:tblPr>
        <w:tblW w:w="976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941"/>
        <w:gridCol w:w="214"/>
        <w:gridCol w:w="584"/>
        <w:gridCol w:w="3032"/>
        <w:gridCol w:w="709"/>
        <w:gridCol w:w="992"/>
        <w:gridCol w:w="1559"/>
        <w:gridCol w:w="1266"/>
      </w:tblGrid>
      <w:tr w:rsidR="00A727E6" w:rsidRPr="00A727E6" w:rsidTr="00A727E6">
        <w:trPr>
          <w:trHeight w:val="255"/>
        </w:trPr>
        <w:tc>
          <w:tcPr>
            <w:tcW w:w="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A727E6">
              <w:rPr>
                <w:b/>
                <w:bCs/>
                <w:sz w:val="22"/>
                <w:szCs w:val="22"/>
              </w:rPr>
              <w:t>p.č</w:t>
            </w:r>
            <w:proofErr w:type="spellEnd"/>
            <w:r w:rsidRPr="00A727E6">
              <w:rPr>
                <w:b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7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Evidenční číslo</w:t>
            </w:r>
          </w:p>
        </w:tc>
        <w:tc>
          <w:tcPr>
            <w:tcW w:w="303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Délka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Počet polí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>Stavební stav</w:t>
            </w:r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727E6" w:rsidRPr="00A727E6" w:rsidRDefault="00A727E6" w:rsidP="00A727E6">
            <w:pPr>
              <w:rPr>
                <w:b/>
                <w:bCs/>
                <w:sz w:val="22"/>
                <w:szCs w:val="22"/>
              </w:rPr>
            </w:pPr>
            <w:r w:rsidRPr="00A727E6">
              <w:rPr>
                <w:b/>
                <w:bCs/>
                <w:sz w:val="22"/>
                <w:szCs w:val="22"/>
              </w:rPr>
              <w:t xml:space="preserve">Cena </w:t>
            </w:r>
            <w:r>
              <w:rPr>
                <w:b/>
                <w:bCs/>
                <w:sz w:val="22"/>
                <w:szCs w:val="22"/>
              </w:rPr>
              <w:t>vč. DPH</w:t>
            </w:r>
          </w:p>
        </w:tc>
      </w:tr>
      <w:tr w:rsidR="00A727E6" w:rsidRPr="00A727E6" w:rsidTr="00A727E6">
        <w:trPr>
          <w:trHeight w:val="270"/>
        </w:trPr>
        <w:tc>
          <w:tcPr>
            <w:tcW w:w="4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03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727E6" w:rsidRPr="00A727E6" w:rsidRDefault="00A727E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426</w:t>
            </w: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005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Bzenec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4951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Těmice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III-</w:t>
            </w:r>
            <w:proofErr w:type="spellStart"/>
            <w:r>
              <w:rPr>
                <w:sz w:val="22"/>
                <w:szCs w:val="22"/>
              </w:rPr>
              <w:t>dobráý</w:t>
            </w:r>
            <w:proofErr w:type="spellEnd"/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Kozojídky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4995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obcí Kněždub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4997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Radějov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4997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Radějov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Javorník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III-dobrý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8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v obci </w:t>
            </w:r>
            <w:proofErr w:type="spellStart"/>
            <w:r w:rsidRPr="00A727E6">
              <w:rPr>
                <w:sz w:val="22"/>
                <w:szCs w:val="22"/>
              </w:rPr>
              <w:t>Suchovské</w:t>
            </w:r>
            <w:proofErr w:type="spellEnd"/>
            <w:r w:rsidRPr="00A727E6">
              <w:rPr>
                <w:sz w:val="22"/>
                <w:szCs w:val="22"/>
              </w:rPr>
              <w:t xml:space="preserve"> Mlýny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9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za obcí </w:t>
            </w:r>
            <w:proofErr w:type="spellStart"/>
            <w:r w:rsidRPr="00A727E6">
              <w:rPr>
                <w:sz w:val="22"/>
                <w:szCs w:val="22"/>
              </w:rPr>
              <w:t>Suchovské</w:t>
            </w:r>
            <w:proofErr w:type="spellEnd"/>
            <w:r w:rsidRPr="00A727E6">
              <w:rPr>
                <w:sz w:val="22"/>
                <w:szCs w:val="22"/>
              </w:rPr>
              <w:t xml:space="preserve"> Mlýny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VI-velmi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10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osadou Vápenky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11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osadou Vápenky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12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9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osadě Vápenky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13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49915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před </w:t>
            </w:r>
            <w:proofErr w:type="spellStart"/>
            <w:r w:rsidRPr="00A727E6">
              <w:rPr>
                <w:sz w:val="22"/>
                <w:szCs w:val="22"/>
              </w:rPr>
              <w:t>Suchovskými</w:t>
            </w:r>
            <w:proofErr w:type="spellEnd"/>
            <w:r w:rsidRPr="00A727E6">
              <w:rPr>
                <w:sz w:val="22"/>
                <w:szCs w:val="22"/>
              </w:rPr>
              <w:t xml:space="preserve"> </w:t>
            </w:r>
            <w:proofErr w:type="spellStart"/>
            <w:r w:rsidRPr="00A727E6">
              <w:rPr>
                <w:sz w:val="22"/>
                <w:szCs w:val="22"/>
              </w:rPr>
              <w:t>Mlýńy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14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49916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obcí Nová Lhoty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15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49916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Nová Lhota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16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012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Ježov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II-velmi dobrý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17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017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za obcí Žádovice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18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432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029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Bohuslavice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19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4227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Skalka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VI-velmi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20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42211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 xml:space="preserve">Most za </w:t>
            </w:r>
            <w:proofErr w:type="spellStart"/>
            <w:r w:rsidRPr="00A727E6">
              <w:rPr>
                <w:sz w:val="22"/>
                <w:szCs w:val="22"/>
              </w:rPr>
              <w:t>obc</w:t>
            </w:r>
            <w:proofErr w:type="spellEnd"/>
            <w:r w:rsidRPr="00A727E6">
              <w:rPr>
                <w:sz w:val="22"/>
                <w:szCs w:val="22"/>
              </w:rPr>
              <w:t xml:space="preserve"> Kelčany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21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42212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Kostelec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22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42213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obcí Kostelec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23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42213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před obcí Vřesovice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V- špatný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4446B8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24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49916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Nová Lhota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IV-uspokojivý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4446B8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25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49918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Hrubá Vrbka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27E6" w:rsidRPr="004446B8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- bezvadný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26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49918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5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7E6" w:rsidRPr="00A727E6" w:rsidRDefault="00A727E6">
            <w:pPr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Most v obci Tasov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7E6" w:rsidRPr="00A727E6" w:rsidRDefault="00A727E6">
            <w:pPr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25,45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7E6" w:rsidRPr="00A727E6" w:rsidRDefault="00A727E6">
            <w:pPr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7E6" w:rsidRPr="00A727E6" w:rsidRDefault="004446B8" w:rsidP="00444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- bezvadný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A727E6" w:rsidRPr="00A727E6" w:rsidTr="00A727E6">
        <w:trPr>
          <w:trHeight w:val="270"/>
        </w:trPr>
        <w:tc>
          <w:tcPr>
            <w:tcW w:w="8501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 w:rsidP="00A727E6">
            <w:pPr>
              <w:jc w:val="right"/>
              <w:rPr>
                <w:b/>
                <w:sz w:val="22"/>
                <w:szCs w:val="22"/>
              </w:rPr>
            </w:pPr>
            <w:r w:rsidRPr="00A727E6">
              <w:rPr>
                <w:b/>
                <w:sz w:val="22"/>
                <w:szCs w:val="22"/>
              </w:rPr>
              <w:t> Celkem cena vč.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7E6" w:rsidRPr="00A727E6" w:rsidRDefault="00A727E6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513CA1" w:rsidRPr="008564B8" w:rsidRDefault="00513CA1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4B8">
        <w:rPr>
          <w:sz w:val="22"/>
          <w:szCs w:val="22"/>
        </w:rPr>
        <w:lastRenderedPageBreak/>
        <w:t>Příloha č. 2 Kopie oprávnění k hlavním prohlídkám mostů</w:t>
      </w: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381646" w:rsidRDefault="00381646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090742" w:rsidRDefault="00090742" w:rsidP="003A64EF">
      <w:pPr>
        <w:spacing w:before="120" w:after="120"/>
        <w:jc w:val="both"/>
        <w:rPr>
          <w:sz w:val="22"/>
          <w:szCs w:val="22"/>
        </w:rPr>
      </w:pPr>
    </w:p>
    <w:p w:rsidR="00513CA1" w:rsidRPr="008564B8" w:rsidRDefault="00513CA1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4B8">
        <w:rPr>
          <w:sz w:val="22"/>
          <w:szCs w:val="22"/>
        </w:rPr>
        <w:lastRenderedPageBreak/>
        <w:t>Příloha č. 3 V</w:t>
      </w:r>
      <w:r w:rsidR="00D0048B" w:rsidRPr="008564B8">
        <w:rPr>
          <w:sz w:val="22"/>
          <w:szCs w:val="22"/>
        </w:rPr>
        <w:t>yhodnocení HPM 2018</w:t>
      </w: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Pr="00661075" w:rsidRDefault="00513CA1" w:rsidP="003A64EF">
      <w:pPr>
        <w:spacing w:before="120" w:after="120"/>
        <w:jc w:val="both"/>
        <w:rPr>
          <w:sz w:val="22"/>
          <w:szCs w:val="22"/>
        </w:rPr>
      </w:pPr>
    </w:p>
    <w:sectPr w:rsidR="00513CA1" w:rsidRPr="00661075" w:rsidSect="0086546D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912" w:rsidRDefault="00567912">
      <w:r>
        <w:separator/>
      </w:r>
    </w:p>
  </w:endnote>
  <w:endnote w:type="continuationSeparator" w:id="0">
    <w:p w:rsidR="00567912" w:rsidRDefault="0056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8B" w:rsidRPr="00336209" w:rsidRDefault="00D0048B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36FEA">
      <w:rPr>
        <w:noProof/>
      </w:rPr>
      <w:t>1</w:t>
    </w:r>
    <w:r>
      <w:rPr>
        <w:noProof/>
      </w:rPr>
      <w:fldChar w:fldCharType="end"/>
    </w:r>
    <w:r>
      <w:t xml:space="preserve"> (celkem </w:t>
    </w:r>
    <w:r w:rsidR="00636FEA">
      <w:fldChar w:fldCharType="begin"/>
    </w:r>
    <w:r w:rsidR="00636FEA">
      <w:instrText xml:space="preserve"> NUMPAGES </w:instrText>
    </w:r>
    <w:r w:rsidR="00636FEA">
      <w:fldChar w:fldCharType="separate"/>
    </w:r>
    <w:r w:rsidR="00636FEA">
      <w:rPr>
        <w:noProof/>
      </w:rPr>
      <w:t>7</w:t>
    </w:r>
    <w:r w:rsidR="00636FEA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8B" w:rsidRPr="00BE6A0A" w:rsidRDefault="00D0048B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 w:rsidR="00636FEA">
      <w:fldChar w:fldCharType="begin"/>
    </w:r>
    <w:r w:rsidR="00636FEA">
      <w:instrText xml:space="preserve"> NUMPAGES </w:instrText>
    </w:r>
    <w:r w:rsidR="00636FEA">
      <w:fldChar w:fldCharType="separate"/>
    </w:r>
    <w:r>
      <w:rPr>
        <w:noProof/>
      </w:rPr>
      <w:t>6</w:t>
    </w:r>
    <w:r w:rsidR="00636FEA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912" w:rsidRDefault="00567912">
      <w:r>
        <w:separator/>
      </w:r>
    </w:p>
  </w:footnote>
  <w:footnote w:type="continuationSeparator" w:id="0">
    <w:p w:rsidR="00567912" w:rsidRDefault="00567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D0048B" w:rsidRPr="00137448">
      <w:trPr>
        <w:trHeight w:val="180"/>
      </w:trPr>
      <w:tc>
        <w:tcPr>
          <w:tcW w:w="9648" w:type="dxa"/>
          <w:gridSpan w:val="2"/>
        </w:tcPr>
        <w:p w:rsidR="00D0048B" w:rsidRDefault="00D0048B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Hlavní prohlídky mostů v roce 2018 – Oblast Jih- </w:t>
          </w:r>
          <w:proofErr w:type="spellStart"/>
          <w:r>
            <w:rPr>
              <w:i/>
              <w:sz w:val="16"/>
              <w:szCs w:val="16"/>
            </w:rPr>
            <w:t>cestmistrovství</w:t>
          </w:r>
          <w:proofErr w:type="spellEnd"/>
          <w:r>
            <w:rPr>
              <w:i/>
              <w:sz w:val="16"/>
              <w:szCs w:val="16"/>
            </w:rPr>
            <w:t xml:space="preserve"> </w:t>
          </w:r>
          <w:proofErr w:type="gramStart"/>
          <w:r>
            <w:rPr>
              <w:i/>
              <w:sz w:val="16"/>
              <w:szCs w:val="16"/>
            </w:rPr>
            <w:t xml:space="preserve">Hodonín a  </w:t>
          </w:r>
          <w:proofErr w:type="spellStart"/>
          <w:r>
            <w:rPr>
              <w:i/>
              <w:sz w:val="16"/>
              <w:szCs w:val="16"/>
            </w:rPr>
            <w:t>cestmistrovství</w:t>
          </w:r>
          <w:proofErr w:type="spellEnd"/>
          <w:proofErr w:type="gramEnd"/>
          <w:r>
            <w:rPr>
              <w:i/>
              <w:sz w:val="16"/>
              <w:szCs w:val="16"/>
            </w:rPr>
            <w:t xml:space="preserve"> Veselí nad Moravu</w:t>
          </w:r>
        </w:p>
        <w:p w:rsidR="00D0048B" w:rsidRPr="009F06D8" w:rsidRDefault="00D0048B" w:rsidP="00854B4E">
          <w:pPr>
            <w:rPr>
              <w:i/>
              <w:sz w:val="8"/>
              <w:szCs w:val="8"/>
            </w:rPr>
          </w:pPr>
        </w:p>
      </w:tc>
    </w:tr>
    <w:tr w:rsidR="00D0048B" w:rsidRPr="00137448">
      <w:trPr>
        <w:trHeight w:val="80"/>
      </w:trPr>
      <w:tc>
        <w:tcPr>
          <w:tcW w:w="4968" w:type="dxa"/>
        </w:tcPr>
        <w:p w:rsidR="00D0048B" w:rsidRPr="00106006" w:rsidRDefault="00D0048B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D0048B" w:rsidRPr="00106006" w:rsidRDefault="00D0048B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D0048B" w:rsidRPr="00336209" w:rsidRDefault="00D0048B" w:rsidP="004426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48B" w:rsidRPr="00BE6A0A" w:rsidRDefault="00D0048B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9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DD1DA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1B97395"/>
    <w:multiLevelType w:val="hybridMultilevel"/>
    <w:tmpl w:val="4C6C1F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818B7B8">
      <w:start w:val="1"/>
      <w:numFmt w:val="upperRoman"/>
      <w:lvlText w:val="%3-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525085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392E46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1A37AD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A3625D"/>
    <w:multiLevelType w:val="hybridMultilevel"/>
    <w:tmpl w:val="4C6C1F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818B7B8">
      <w:start w:val="1"/>
      <w:numFmt w:val="upperRoman"/>
      <w:lvlText w:val="%3-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1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8"/>
  </w:num>
  <w:num w:numId="3">
    <w:abstractNumId w:val="15"/>
  </w:num>
  <w:num w:numId="4">
    <w:abstractNumId w:val="31"/>
  </w:num>
  <w:num w:numId="5">
    <w:abstractNumId w:val="2"/>
  </w:num>
  <w:num w:numId="6">
    <w:abstractNumId w:val="10"/>
  </w:num>
  <w:num w:numId="7">
    <w:abstractNumId w:val="27"/>
  </w:num>
  <w:num w:numId="8">
    <w:abstractNumId w:val="33"/>
  </w:num>
  <w:num w:numId="9">
    <w:abstractNumId w:val="0"/>
  </w:num>
  <w:num w:numId="10">
    <w:abstractNumId w:val="18"/>
  </w:num>
  <w:num w:numId="11">
    <w:abstractNumId w:val="16"/>
  </w:num>
  <w:num w:numId="12">
    <w:abstractNumId w:val="28"/>
  </w:num>
  <w:num w:numId="13">
    <w:abstractNumId w:val="3"/>
  </w:num>
  <w:num w:numId="14">
    <w:abstractNumId w:val="38"/>
  </w:num>
  <w:num w:numId="15">
    <w:abstractNumId w:val="12"/>
  </w:num>
  <w:num w:numId="16">
    <w:abstractNumId w:val="29"/>
  </w:num>
  <w:num w:numId="17">
    <w:abstractNumId w:val="17"/>
  </w:num>
  <w:num w:numId="18">
    <w:abstractNumId w:val="30"/>
  </w:num>
  <w:num w:numId="19">
    <w:abstractNumId w:val="36"/>
  </w:num>
  <w:num w:numId="20">
    <w:abstractNumId w:val="19"/>
  </w:num>
  <w:num w:numId="21">
    <w:abstractNumId w:val="4"/>
  </w:num>
  <w:num w:numId="22">
    <w:abstractNumId w:val="13"/>
  </w:num>
  <w:num w:numId="23">
    <w:abstractNumId w:val="6"/>
  </w:num>
  <w:num w:numId="24">
    <w:abstractNumId w:val="35"/>
  </w:num>
  <w:num w:numId="25">
    <w:abstractNumId w:val="34"/>
  </w:num>
  <w:num w:numId="26">
    <w:abstractNumId w:val="7"/>
  </w:num>
  <w:num w:numId="27">
    <w:abstractNumId w:val="5"/>
  </w:num>
  <w:num w:numId="28">
    <w:abstractNumId w:val="14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1"/>
  </w:num>
  <w:num w:numId="32">
    <w:abstractNumId w:val="26"/>
  </w:num>
  <w:num w:numId="33">
    <w:abstractNumId w:val="39"/>
  </w:num>
  <w:num w:numId="34">
    <w:abstractNumId w:val="23"/>
  </w:num>
  <w:num w:numId="35">
    <w:abstractNumId w:val="41"/>
  </w:num>
  <w:num w:numId="36">
    <w:abstractNumId w:val="23"/>
  </w:num>
  <w:num w:numId="37">
    <w:abstractNumId w:val="9"/>
  </w:num>
  <w:num w:numId="38">
    <w:abstractNumId w:val="21"/>
  </w:num>
  <w:num w:numId="39">
    <w:abstractNumId w:val="25"/>
  </w:num>
  <w:num w:numId="40">
    <w:abstractNumId w:val="20"/>
  </w:num>
  <w:num w:numId="41">
    <w:abstractNumId w:val="32"/>
  </w:num>
  <w:num w:numId="42">
    <w:abstractNumId w:val="24"/>
  </w:num>
  <w:num w:numId="43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ybiralova.veronika">
    <w15:presenceInfo w15:providerId="None" w15:userId="vybiralova.veron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26C3C"/>
    <w:rsid w:val="00031A1B"/>
    <w:rsid w:val="000324FF"/>
    <w:rsid w:val="00032566"/>
    <w:rsid w:val="00032B5E"/>
    <w:rsid w:val="00034126"/>
    <w:rsid w:val="000440D1"/>
    <w:rsid w:val="00046930"/>
    <w:rsid w:val="000563CA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0742"/>
    <w:rsid w:val="0009334E"/>
    <w:rsid w:val="000A1EC8"/>
    <w:rsid w:val="000A654A"/>
    <w:rsid w:val="000B4DBA"/>
    <w:rsid w:val="000C1313"/>
    <w:rsid w:val="000C2BFC"/>
    <w:rsid w:val="000D3CD8"/>
    <w:rsid w:val="000D4AA9"/>
    <w:rsid w:val="000D7353"/>
    <w:rsid w:val="000E68E3"/>
    <w:rsid w:val="000F4332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316D1"/>
    <w:rsid w:val="00137448"/>
    <w:rsid w:val="001435FC"/>
    <w:rsid w:val="00146EE7"/>
    <w:rsid w:val="00151081"/>
    <w:rsid w:val="001511C2"/>
    <w:rsid w:val="001547A6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E2EBA"/>
    <w:rsid w:val="001F239C"/>
    <w:rsid w:val="001F24EC"/>
    <w:rsid w:val="001F35F6"/>
    <w:rsid w:val="001F53D9"/>
    <w:rsid w:val="001F7AC4"/>
    <w:rsid w:val="00204A32"/>
    <w:rsid w:val="002165F1"/>
    <w:rsid w:val="002247BD"/>
    <w:rsid w:val="00225B12"/>
    <w:rsid w:val="00227971"/>
    <w:rsid w:val="00241BD6"/>
    <w:rsid w:val="002428B9"/>
    <w:rsid w:val="0024758F"/>
    <w:rsid w:val="002522AE"/>
    <w:rsid w:val="00252CFD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8F1"/>
    <w:rsid w:val="002A1DFA"/>
    <w:rsid w:val="002B541A"/>
    <w:rsid w:val="002C2E62"/>
    <w:rsid w:val="002C3A00"/>
    <w:rsid w:val="002D0F16"/>
    <w:rsid w:val="002E2E40"/>
    <w:rsid w:val="002E6191"/>
    <w:rsid w:val="002E7A9C"/>
    <w:rsid w:val="002F1B71"/>
    <w:rsid w:val="002F491B"/>
    <w:rsid w:val="002F63E1"/>
    <w:rsid w:val="00305CA2"/>
    <w:rsid w:val="003159E6"/>
    <w:rsid w:val="00317267"/>
    <w:rsid w:val="00336209"/>
    <w:rsid w:val="00336293"/>
    <w:rsid w:val="003406FE"/>
    <w:rsid w:val="003409DA"/>
    <w:rsid w:val="0034126A"/>
    <w:rsid w:val="003423BD"/>
    <w:rsid w:val="00365267"/>
    <w:rsid w:val="003652D9"/>
    <w:rsid w:val="00374314"/>
    <w:rsid w:val="00380EF9"/>
    <w:rsid w:val="00381062"/>
    <w:rsid w:val="00381646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D2E50"/>
    <w:rsid w:val="003D48EF"/>
    <w:rsid w:val="003D7ACC"/>
    <w:rsid w:val="003E728A"/>
    <w:rsid w:val="003E733D"/>
    <w:rsid w:val="003F4371"/>
    <w:rsid w:val="003F4692"/>
    <w:rsid w:val="00400F5B"/>
    <w:rsid w:val="00407535"/>
    <w:rsid w:val="00414E49"/>
    <w:rsid w:val="00415BA8"/>
    <w:rsid w:val="004220D1"/>
    <w:rsid w:val="00426AB6"/>
    <w:rsid w:val="00433100"/>
    <w:rsid w:val="00437470"/>
    <w:rsid w:val="004426DD"/>
    <w:rsid w:val="004446B8"/>
    <w:rsid w:val="00444AA3"/>
    <w:rsid w:val="00447C58"/>
    <w:rsid w:val="00456F94"/>
    <w:rsid w:val="00461A70"/>
    <w:rsid w:val="00463BB4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163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7A16"/>
    <w:rsid w:val="005129D4"/>
    <w:rsid w:val="00513483"/>
    <w:rsid w:val="00513CA1"/>
    <w:rsid w:val="005169AD"/>
    <w:rsid w:val="00531325"/>
    <w:rsid w:val="005322BC"/>
    <w:rsid w:val="00543201"/>
    <w:rsid w:val="00544898"/>
    <w:rsid w:val="00567912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6CE"/>
    <w:rsid w:val="00626BD8"/>
    <w:rsid w:val="00627222"/>
    <w:rsid w:val="00627F50"/>
    <w:rsid w:val="0063072A"/>
    <w:rsid w:val="00636192"/>
    <w:rsid w:val="00636FEA"/>
    <w:rsid w:val="00637E24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A1C8B"/>
    <w:rsid w:val="006B1A3B"/>
    <w:rsid w:val="006C2044"/>
    <w:rsid w:val="006C4891"/>
    <w:rsid w:val="006C507B"/>
    <w:rsid w:val="006C7B0A"/>
    <w:rsid w:val="006E0A0E"/>
    <w:rsid w:val="006E48DF"/>
    <w:rsid w:val="006E57C1"/>
    <w:rsid w:val="006F13DF"/>
    <w:rsid w:val="006F6A2E"/>
    <w:rsid w:val="0070049F"/>
    <w:rsid w:val="00706CA5"/>
    <w:rsid w:val="00707724"/>
    <w:rsid w:val="007101C9"/>
    <w:rsid w:val="00712CDD"/>
    <w:rsid w:val="00716AF2"/>
    <w:rsid w:val="00730B60"/>
    <w:rsid w:val="007311FF"/>
    <w:rsid w:val="007374EC"/>
    <w:rsid w:val="00743366"/>
    <w:rsid w:val="00772FB5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51C3"/>
    <w:rsid w:val="007C78F9"/>
    <w:rsid w:val="007D5751"/>
    <w:rsid w:val="007D63F1"/>
    <w:rsid w:val="007E74E0"/>
    <w:rsid w:val="007E75D7"/>
    <w:rsid w:val="007F2949"/>
    <w:rsid w:val="007F4321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477B3"/>
    <w:rsid w:val="00853605"/>
    <w:rsid w:val="00854B4E"/>
    <w:rsid w:val="00855C55"/>
    <w:rsid w:val="008564B8"/>
    <w:rsid w:val="0086313B"/>
    <w:rsid w:val="00863329"/>
    <w:rsid w:val="00864DF2"/>
    <w:rsid w:val="0086546D"/>
    <w:rsid w:val="0086771B"/>
    <w:rsid w:val="0087522B"/>
    <w:rsid w:val="00884685"/>
    <w:rsid w:val="00891C57"/>
    <w:rsid w:val="00891F43"/>
    <w:rsid w:val="00895699"/>
    <w:rsid w:val="008B6A0B"/>
    <w:rsid w:val="008B7673"/>
    <w:rsid w:val="008B7691"/>
    <w:rsid w:val="008C226C"/>
    <w:rsid w:val="008C3AD7"/>
    <w:rsid w:val="008C69B0"/>
    <w:rsid w:val="008D0EEA"/>
    <w:rsid w:val="008D3F31"/>
    <w:rsid w:val="008D6633"/>
    <w:rsid w:val="008E0562"/>
    <w:rsid w:val="008E7259"/>
    <w:rsid w:val="008F44BA"/>
    <w:rsid w:val="00903B75"/>
    <w:rsid w:val="00903FEF"/>
    <w:rsid w:val="009058D3"/>
    <w:rsid w:val="0090774E"/>
    <w:rsid w:val="00914370"/>
    <w:rsid w:val="0092082F"/>
    <w:rsid w:val="00932264"/>
    <w:rsid w:val="00932B01"/>
    <w:rsid w:val="00934CED"/>
    <w:rsid w:val="00935C3D"/>
    <w:rsid w:val="009437AA"/>
    <w:rsid w:val="00946568"/>
    <w:rsid w:val="009503EF"/>
    <w:rsid w:val="00952B1A"/>
    <w:rsid w:val="0096096E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5CFB"/>
    <w:rsid w:val="009F06D8"/>
    <w:rsid w:val="009F1898"/>
    <w:rsid w:val="009F2D6C"/>
    <w:rsid w:val="00A03413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47A18"/>
    <w:rsid w:val="00A554AD"/>
    <w:rsid w:val="00A66E90"/>
    <w:rsid w:val="00A67F2D"/>
    <w:rsid w:val="00A71609"/>
    <w:rsid w:val="00A727E6"/>
    <w:rsid w:val="00A73414"/>
    <w:rsid w:val="00A83616"/>
    <w:rsid w:val="00A846E6"/>
    <w:rsid w:val="00AA082E"/>
    <w:rsid w:val="00AA1AD3"/>
    <w:rsid w:val="00AA4CF6"/>
    <w:rsid w:val="00AB3867"/>
    <w:rsid w:val="00AB44B5"/>
    <w:rsid w:val="00AC132C"/>
    <w:rsid w:val="00AC2F12"/>
    <w:rsid w:val="00AC35FB"/>
    <w:rsid w:val="00AC58D1"/>
    <w:rsid w:val="00AC6766"/>
    <w:rsid w:val="00AC749A"/>
    <w:rsid w:val="00AD1C7C"/>
    <w:rsid w:val="00AD2463"/>
    <w:rsid w:val="00AD282E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40742"/>
    <w:rsid w:val="00B5150F"/>
    <w:rsid w:val="00B60CEE"/>
    <w:rsid w:val="00B67E5A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4398"/>
    <w:rsid w:val="00BB64AF"/>
    <w:rsid w:val="00BB7172"/>
    <w:rsid w:val="00BC56D4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6F67"/>
    <w:rsid w:val="00C319B4"/>
    <w:rsid w:val="00C40E1F"/>
    <w:rsid w:val="00C54172"/>
    <w:rsid w:val="00C615E9"/>
    <w:rsid w:val="00C73E1D"/>
    <w:rsid w:val="00C87385"/>
    <w:rsid w:val="00C939AE"/>
    <w:rsid w:val="00C97925"/>
    <w:rsid w:val="00CA1E79"/>
    <w:rsid w:val="00CA2AC1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48B"/>
    <w:rsid w:val="00D00C50"/>
    <w:rsid w:val="00D02A8D"/>
    <w:rsid w:val="00D02AEC"/>
    <w:rsid w:val="00D14B55"/>
    <w:rsid w:val="00D2429C"/>
    <w:rsid w:val="00D26EE6"/>
    <w:rsid w:val="00D3643C"/>
    <w:rsid w:val="00D43173"/>
    <w:rsid w:val="00D43FC4"/>
    <w:rsid w:val="00D44283"/>
    <w:rsid w:val="00D47EC1"/>
    <w:rsid w:val="00D54358"/>
    <w:rsid w:val="00D652D5"/>
    <w:rsid w:val="00D65598"/>
    <w:rsid w:val="00D671C2"/>
    <w:rsid w:val="00D84202"/>
    <w:rsid w:val="00D8559B"/>
    <w:rsid w:val="00D9022B"/>
    <w:rsid w:val="00D97E86"/>
    <w:rsid w:val="00DA3364"/>
    <w:rsid w:val="00DB09BB"/>
    <w:rsid w:val="00DB3CB2"/>
    <w:rsid w:val="00DB4B50"/>
    <w:rsid w:val="00DC6369"/>
    <w:rsid w:val="00DD10A5"/>
    <w:rsid w:val="00DD4021"/>
    <w:rsid w:val="00DD6D0C"/>
    <w:rsid w:val="00DE0A43"/>
    <w:rsid w:val="00DE3920"/>
    <w:rsid w:val="00DE7CD5"/>
    <w:rsid w:val="00DF1E75"/>
    <w:rsid w:val="00DF7489"/>
    <w:rsid w:val="00DF7F47"/>
    <w:rsid w:val="00E05CE6"/>
    <w:rsid w:val="00E165B2"/>
    <w:rsid w:val="00E17784"/>
    <w:rsid w:val="00E2538C"/>
    <w:rsid w:val="00E26461"/>
    <w:rsid w:val="00E27833"/>
    <w:rsid w:val="00E315C6"/>
    <w:rsid w:val="00E4082B"/>
    <w:rsid w:val="00E416B8"/>
    <w:rsid w:val="00E463E8"/>
    <w:rsid w:val="00E47AE2"/>
    <w:rsid w:val="00E50D90"/>
    <w:rsid w:val="00E54BEA"/>
    <w:rsid w:val="00E65025"/>
    <w:rsid w:val="00E724E0"/>
    <w:rsid w:val="00E758F4"/>
    <w:rsid w:val="00E826FA"/>
    <w:rsid w:val="00E85F6A"/>
    <w:rsid w:val="00E87507"/>
    <w:rsid w:val="00E96EDE"/>
    <w:rsid w:val="00EA3F51"/>
    <w:rsid w:val="00EA6159"/>
    <w:rsid w:val="00EA64BC"/>
    <w:rsid w:val="00EA6E29"/>
    <w:rsid w:val="00EB03FD"/>
    <w:rsid w:val="00EB0713"/>
    <w:rsid w:val="00EB43C0"/>
    <w:rsid w:val="00EB51F9"/>
    <w:rsid w:val="00EC1851"/>
    <w:rsid w:val="00ED4B83"/>
    <w:rsid w:val="00ED57B6"/>
    <w:rsid w:val="00EE086A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66CA3"/>
    <w:rsid w:val="00F72422"/>
    <w:rsid w:val="00F756E6"/>
    <w:rsid w:val="00F91E30"/>
    <w:rsid w:val="00F932C6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.donat@susjmk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1968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12342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Malečková Iveta</cp:lastModifiedBy>
  <cp:revision>5</cp:revision>
  <cp:lastPrinted>2017-03-01T07:23:00Z</cp:lastPrinted>
  <dcterms:created xsi:type="dcterms:W3CDTF">2018-02-21T10:15:00Z</dcterms:created>
  <dcterms:modified xsi:type="dcterms:W3CDTF">2018-02-21T10:18:00Z</dcterms:modified>
</cp:coreProperties>
</file>