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C9" w:rsidRPr="00E65AC9" w:rsidRDefault="00E65AC9" w:rsidP="00E65AC9">
      <w:pPr>
        <w:jc w:val="right"/>
        <w:rPr>
          <w:sz w:val="24"/>
          <w:szCs w:val="24"/>
        </w:rPr>
      </w:pPr>
      <w:bookmarkStart w:id="0" w:name="_GoBack"/>
      <w:bookmarkEnd w:id="0"/>
    </w:p>
    <w:p w:rsidR="000D4437" w:rsidRPr="00560B1C" w:rsidRDefault="008177D9" w:rsidP="008177D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Technická specifikace - </w:t>
      </w:r>
      <w:r w:rsidR="000D4437">
        <w:rPr>
          <w:b/>
          <w:sz w:val="28"/>
          <w:szCs w:val="28"/>
          <w:u w:val="single"/>
        </w:rPr>
        <w:t>Automatický koagulometr</w:t>
      </w:r>
    </w:p>
    <w:p w:rsidR="000D4437" w:rsidRPr="00560B1C" w:rsidRDefault="000D4437" w:rsidP="00F33641">
      <w:pPr>
        <w:pStyle w:val="Seznamsodrkami"/>
        <w:numPr>
          <w:ilvl w:val="0"/>
          <w:numId w:val="0"/>
        </w:numPr>
        <w:ind w:left="360" w:hanging="360"/>
        <w:rPr>
          <w:b/>
        </w:rPr>
      </w:pPr>
      <w:r w:rsidRPr="00560B1C">
        <w:rPr>
          <w:b/>
        </w:rPr>
        <w:t>Specifikace přístroje</w:t>
      </w:r>
      <w:r>
        <w:rPr>
          <w:b/>
        </w:rPr>
        <w:t>: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Plně automatizovaný analyzátor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Kapacita přístroje minimálně 80 vzorků PT/hodina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Volně programovatelné jednotlivé koagulační metody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Vyšetření několika metod z jednoho vzorku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Kontinuální vkládání vzorků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Přednostní statimové vyšetření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Automatické ředění vzorku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Chlazení pozic pro originální lahvičky s reagenciemi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Identifikace reagencií pomocí čtečky čarového kódu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Obousměrná komunikace s LIS</w:t>
      </w:r>
    </w:p>
    <w:p w:rsidR="000D4437" w:rsidRDefault="000628AA" w:rsidP="00F33641">
      <w:pPr>
        <w:pStyle w:val="Seznamsodrkami"/>
        <w:numPr>
          <w:ilvl w:val="0"/>
          <w:numId w:val="3"/>
        </w:numPr>
      </w:pPr>
      <w:r>
        <w:t>Možnost o</w:t>
      </w:r>
      <w:r w:rsidR="000D4437">
        <w:t>nline vzdálené správy servisním střediskem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Záložní elektrický zdroj (UPS)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Současné použití různých typů primárních zkumavek</w:t>
      </w:r>
    </w:p>
    <w:p w:rsidR="000D4437" w:rsidRDefault="000D4437" w:rsidP="00F33641">
      <w:pPr>
        <w:pStyle w:val="Seznamsodrkami"/>
        <w:numPr>
          <w:ilvl w:val="0"/>
          <w:numId w:val="3"/>
        </w:numPr>
      </w:pPr>
      <w:r>
        <w:t>Automatický podavač vzorků jako součást systému</w:t>
      </w:r>
    </w:p>
    <w:p w:rsidR="000D4437" w:rsidRPr="009E497C" w:rsidRDefault="000D4437" w:rsidP="00F33641">
      <w:pPr>
        <w:pStyle w:val="Seznamsodrkami"/>
        <w:numPr>
          <w:ilvl w:val="0"/>
          <w:numId w:val="3"/>
        </w:numPr>
      </w:pPr>
      <w:r w:rsidRPr="009E497C">
        <w:t>Definování pravidel pro automatické přeměření vzorku</w:t>
      </w:r>
    </w:p>
    <w:p w:rsidR="000D4437" w:rsidRPr="009E497C" w:rsidRDefault="000D4437" w:rsidP="00F33641">
      <w:pPr>
        <w:pStyle w:val="Seznamsodrkami"/>
        <w:numPr>
          <w:ilvl w:val="0"/>
          <w:numId w:val="3"/>
        </w:numPr>
      </w:pPr>
      <w:r w:rsidRPr="009E497C">
        <w:t xml:space="preserve">Vnitřní paměťová kapacita přístroje, minimálně pro 5000 vyšetření </w:t>
      </w:r>
    </w:p>
    <w:p w:rsidR="000D4437" w:rsidRPr="009E497C" w:rsidRDefault="0078771D" w:rsidP="00D11053">
      <w:pPr>
        <w:pStyle w:val="Seznamsodrkami"/>
        <w:numPr>
          <w:ilvl w:val="0"/>
          <w:numId w:val="3"/>
        </w:numPr>
      </w:pPr>
      <w:r>
        <w:t xml:space="preserve">USB vstup </w:t>
      </w:r>
      <w:r w:rsidR="000D4437" w:rsidRPr="009E497C">
        <w:t>k zálohování primárních dat z analyzátoru</w:t>
      </w:r>
    </w:p>
    <w:p w:rsidR="000D4437" w:rsidRPr="009E497C" w:rsidRDefault="000D4437" w:rsidP="00D11053">
      <w:pPr>
        <w:pStyle w:val="Seznamsodrkami"/>
        <w:numPr>
          <w:ilvl w:val="0"/>
          <w:numId w:val="3"/>
        </w:numPr>
      </w:pPr>
      <w:r w:rsidRPr="009E497C">
        <w:t>Tisk primárních dat přímo z analyzátoru</w:t>
      </w:r>
    </w:p>
    <w:p w:rsidR="000D4437" w:rsidRDefault="000D4437" w:rsidP="009371E0">
      <w:pPr>
        <w:pStyle w:val="Seznamsodrkami"/>
        <w:numPr>
          <w:ilvl w:val="0"/>
          <w:numId w:val="0"/>
        </w:numPr>
        <w:ind w:left="360" w:hanging="360"/>
      </w:pPr>
    </w:p>
    <w:p w:rsidR="000D4437" w:rsidRDefault="000D4437" w:rsidP="009371E0">
      <w:pPr>
        <w:pStyle w:val="Seznamsodrkami"/>
        <w:numPr>
          <w:ilvl w:val="0"/>
          <w:numId w:val="0"/>
        </w:numPr>
        <w:ind w:left="360" w:hanging="360"/>
      </w:pPr>
    </w:p>
    <w:p w:rsidR="000D4437" w:rsidRPr="00560B1C" w:rsidRDefault="000D4437" w:rsidP="00D11053">
      <w:pPr>
        <w:pStyle w:val="Seznamsodrkami"/>
        <w:numPr>
          <w:ilvl w:val="0"/>
          <w:numId w:val="0"/>
        </w:numPr>
        <w:rPr>
          <w:b/>
        </w:rPr>
      </w:pPr>
      <w:r w:rsidRPr="00560B1C">
        <w:rPr>
          <w:b/>
        </w:rPr>
        <w:t>Příslušenství:</w:t>
      </w:r>
    </w:p>
    <w:p w:rsidR="000D4437" w:rsidRDefault="000D4437" w:rsidP="00D11053">
      <w:pPr>
        <w:pStyle w:val="Seznamsodrkami"/>
        <w:numPr>
          <w:ilvl w:val="0"/>
          <w:numId w:val="3"/>
        </w:numPr>
      </w:pPr>
      <w:r>
        <w:t>Integrovaná a ruční čtečka čarových kódů součástí analyzátoru</w:t>
      </w:r>
    </w:p>
    <w:p w:rsidR="000D4437" w:rsidRDefault="000D4437" w:rsidP="00D11053">
      <w:pPr>
        <w:pStyle w:val="Seznamsodrkami"/>
        <w:numPr>
          <w:ilvl w:val="0"/>
          <w:numId w:val="3"/>
        </w:numPr>
      </w:pPr>
      <w:r>
        <w:t xml:space="preserve">PC monitor a tiskárna </w:t>
      </w:r>
    </w:p>
    <w:p w:rsidR="000D4437" w:rsidRDefault="000D4437" w:rsidP="00DC322E">
      <w:pPr>
        <w:pStyle w:val="Seznamsodrkami"/>
        <w:numPr>
          <w:ilvl w:val="0"/>
          <w:numId w:val="0"/>
        </w:numPr>
      </w:pPr>
    </w:p>
    <w:p w:rsidR="000D4437" w:rsidRPr="00DC322E" w:rsidRDefault="000D4437" w:rsidP="00DC322E">
      <w:pPr>
        <w:pStyle w:val="Seznamsodrkami"/>
        <w:numPr>
          <w:ilvl w:val="0"/>
          <w:numId w:val="0"/>
        </w:numPr>
        <w:rPr>
          <w:b/>
        </w:rPr>
      </w:pPr>
      <w:r w:rsidRPr="00DC322E">
        <w:rPr>
          <w:b/>
        </w:rPr>
        <w:t>Dodržení standardů ISO 15189</w:t>
      </w:r>
      <w:r>
        <w:rPr>
          <w:b/>
        </w:rPr>
        <w:t>:</w:t>
      </w:r>
    </w:p>
    <w:p w:rsidR="000D4437" w:rsidRDefault="000D4437" w:rsidP="00D11053">
      <w:pPr>
        <w:pStyle w:val="Seznamsodrkami"/>
        <w:numPr>
          <w:ilvl w:val="0"/>
          <w:numId w:val="3"/>
        </w:numPr>
      </w:pPr>
      <w:r>
        <w:t>Dohledatelnost použitých reagencií u vyšetřovaného vzorku</w:t>
      </w:r>
    </w:p>
    <w:p w:rsidR="000D4437" w:rsidRDefault="000D4437" w:rsidP="00D11053">
      <w:pPr>
        <w:pStyle w:val="Seznamsodrkami"/>
        <w:numPr>
          <w:ilvl w:val="0"/>
          <w:numId w:val="3"/>
        </w:numPr>
      </w:pPr>
      <w:r>
        <w:t>Dohledatelnost expirací, čísla šarží u reagencií</w:t>
      </w:r>
    </w:p>
    <w:p w:rsidR="000D4437" w:rsidRDefault="000D4437" w:rsidP="00D11053">
      <w:pPr>
        <w:pStyle w:val="Seznamsodrkami"/>
        <w:numPr>
          <w:ilvl w:val="0"/>
          <w:numId w:val="3"/>
        </w:numPr>
      </w:pPr>
      <w:r>
        <w:t>Dohledatelnost operátora</w:t>
      </w:r>
    </w:p>
    <w:p w:rsidR="000D4437" w:rsidRDefault="000D4437" w:rsidP="00D11053">
      <w:pPr>
        <w:pStyle w:val="Seznamsodrkami"/>
        <w:numPr>
          <w:ilvl w:val="0"/>
          <w:numId w:val="0"/>
        </w:numPr>
        <w:ind w:left="360" w:hanging="360"/>
      </w:pPr>
    </w:p>
    <w:p w:rsidR="000D4437" w:rsidRPr="00560B1C" w:rsidRDefault="000D4437" w:rsidP="00D11053">
      <w:pPr>
        <w:pStyle w:val="Seznamsodrkami"/>
        <w:numPr>
          <w:ilvl w:val="0"/>
          <w:numId w:val="0"/>
        </w:numPr>
        <w:ind w:left="360" w:hanging="360"/>
        <w:rPr>
          <w:b/>
        </w:rPr>
      </w:pPr>
      <w:r w:rsidRPr="00560B1C">
        <w:rPr>
          <w:b/>
        </w:rPr>
        <w:t>Další možnosti přístroje</w:t>
      </w:r>
      <w:r>
        <w:rPr>
          <w:b/>
        </w:rPr>
        <w:t>:</w:t>
      </w:r>
    </w:p>
    <w:p w:rsidR="000D4437" w:rsidRDefault="000D4437" w:rsidP="00560B1C">
      <w:pPr>
        <w:pStyle w:val="Seznamsodrkami"/>
        <w:numPr>
          <w:ilvl w:val="0"/>
          <w:numId w:val="3"/>
        </w:numPr>
      </w:pPr>
      <w:r>
        <w:t>Automatické načítání cílových hodnot kontrolních materiálů a kalibrátorů.</w:t>
      </w:r>
    </w:p>
    <w:p w:rsidR="000D4437" w:rsidRDefault="000D4437" w:rsidP="00560B1C">
      <w:pPr>
        <w:pStyle w:val="Seznamsodrkami"/>
        <w:numPr>
          <w:ilvl w:val="0"/>
          <w:numId w:val="3"/>
        </w:numPr>
      </w:pPr>
      <w:r>
        <w:t>Přehledné grafické zobrazení (Levey-Jenningsovy grafy) a vyhodnocení kontroly kvality (Westgardovo pravidlo) s možností tisku.</w:t>
      </w:r>
    </w:p>
    <w:p w:rsidR="000D4437" w:rsidRDefault="000D4437" w:rsidP="00560B1C">
      <w:pPr>
        <w:pStyle w:val="Seznamsodrkami"/>
        <w:numPr>
          <w:ilvl w:val="0"/>
          <w:numId w:val="0"/>
        </w:numPr>
        <w:ind w:left="360" w:hanging="360"/>
      </w:pPr>
    </w:p>
    <w:p w:rsidR="000D4437" w:rsidRPr="00560B1C" w:rsidRDefault="000D4437" w:rsidP="00560B1C">
      <w:pPr>
        <w:pStyle w:val="Seznamsodrkami"/>
        <w:numPr>
          <w:ilvl w:val="0"/>
          <w:numId w:val="0"/>
        </w:numPr>
        <w:ind w:left="360" w:hanging="360"/>
        <w:rPr>
          <w:b/>
        </w:rPr>
      </w:pPr>
      <w:r w:rsidRPr="00560B1C">
        <w:rPr>
          <w:b/>
        </w:rPr>
        <w:t>Požadované metody vyšetření:</w:t>
      </w:r>
    </w:p>
    <w:p w:rsidR="000D4437" w:rsidRDefault="000D4437" w:rsidP="00560B1C">
      <w:pPr>
        <w:pStyle w:val="Seznamsodrkami"/>
        <w:numPr>
          <w:ilvl w:val="0"/>
          <w:numId w:val="3"/>
        </w:numPr>
      </w:pPr>
      <w:r>
        <w:t>PT, a</w:t>
      </w:r>
      <w:r w:rsidR="00A52F86">
        <w:t xml:space="preserve"> </w:t>
      </w:r>
      <w:r>
        <w:t>P</w:t>
      </w:r>
      <w:r w:rsidR="000628AA">
        <w:t>TT,  fibrinogen, antitrombin</w:t>
      </w:r>
      <w:r>
        <w:t>, D-dimery, trombinový čas, protein C, protein S, APC rezistence nebo proC global, F VIII, Anti – Xa, lupus antikoagulans</w:t>
      </w:r>
    </w:p>
    <w:p w:rsidR="000D4437" w:rsidRDefault="000D4437" w:rsidP="00560B1C">
      <w:pPr>
        <w:pStyle w:val="Seznamsodrkami"/>
        <w:numPr>
          <w:ilvl w:val="0"/>
          <w:numId w:val="0"/>
        </w:numPr>
        <w:ind w:left="360" w:hanging="360"/>
      </w:pPr>
    </w:p>
    <w:sectPr w:rsidR="000D4437" w:rsidSect="00D167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7D9" w:rsidRDefault="008177D9" w:rsidP="008177D9">
      <w:pPr>
        <w:spacing w:after="0" w:line="240" w:lineRule="auto"/>
      </w:pPr>
      <w:r>
        <w:separator/>
      </w:r>
    </w:p>
  </w:endnote>
  <w:endnote w:type="continuationSeparator" w:id="0">
    <w:p w:rsidR="008177D9" w:rsidRDefault="008177D9" w:rsidP="00817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7D9" w:rsidRDefault="008177D9" w:rsidP="008177D9">
      <w:pPr>
        <w:spacing w:after="0" w:line="240" w:lineRule="auto"/>
      </w:pPr>
      <w:r>
        <w:separator/>
      </w:r>
    </w:p>
  </w:footnote>
  <w:footnote w:type="continuationSeparator" w:id="0">
    <w:p w:rsidR="008177D9" w:rsidRDefault="008177D9" w:rsidP="00817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7D9" w:rsidRDefault="008177D9" w:rsidP="008177D9">
    <w:pPr>
      <w:pStyle w:val="Zhlav"/>
      <w:jc w:val="right"/>
    </w:pPr>
    <w:r>
      <w:t>Příloha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216134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5CF"/>
    <w:rsid w:val="0001492D"/>
    <w:rsid w:val="0003105E"/>
    <w:rsid w:val="000628AA"/>
    <w:rsid w:val="000D4437"/>
    <w:rsid w:val="00297016"/>
    <w:rsid w:val="00454AB0"/>
    <w:rsid w:val="004605CF"/>
    <w:rsid w:val="00560B1C"/>
    <w:rsid w:val="005E2A7B"/>
    <w:rsid w:val="005E5EE8"/>
    <w:rsid w:val="006966C3"/>
    <w:rsid w:val="007316C2"/>
    <w:rsid w:val="0078495D"/>
    <w:rsid w:val="0078771D"/>
    <w:rsid w:val="0079085A"/>
    <w:rsid w:val="008177D9"/>
    <w:rsid w:val="008B0505"/>
    <w:rsid w:val="00933374"/>
    <w:rsid w:val="009371E0"/>
    <w:rsid w:val="009A0261"/>
    <w:rsid w:val="009E497C"/>
    <w:rsid w:val="00A52F86"/>
    <w:rsid w:val="00AA22F8"/>
    <w:rsid w:val="00AF5C05"/>
    <w:rsid w:val="00B3131E"/>
    <w:rsid w:val="00B64D7C"/>
    <w:rsid w:val="00BD08EE"/>
    <w:rsid w:val="00C75A93"/>
    <w:rsid w:val="00D11053"/>
    <w:rsid w:val="00D167E7"/>
    <w:rsid w:val="00DC322E"/>
    <w:rsid w:val="00DF1B92"/>
    <w:rsid w:val="00E65AC9"/>
    <w:rsid w:val="00E7318A"/>
    <w:rsid w:val="00F33641"/>
    <w:rsid w:val="00FC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AC419A-0947-4765-AB0A-98F85BBC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67E7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uiPriority w:val="99"/>
    <w:rsid w:val="00F33641"/>
    <w:pPr>
      <w:numPr>
        <w:numId w:val="2"/>
      </w:numPr>
      <w:contextualSpacing/>
    </w:pPr>
  </w:style>
  <w:style w:type="paragraph" w:styleId="Odstavecseseznamem">
    <w:name w:val="List Paragraph"/>
    <w:basedOn w:val="Normln"/>
    <w:uiPriority w:val="99"/>
    <w:qFormat/>
    <w:rsid w:val="00F336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77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77D9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77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77D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Automatický koagulometr</vt:lpstr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Automatický koagulometr</dc:title>
  <dc:subject/>
  <dc:creator>MOKRÁŠOVÁ Jitka</dc:creator>
  <cp:keywords/>
  <dc:description/>
  <cp:lastModifiedBy>Radomír Drozd</cp:lastModifiedBy>
  <cp:revision>5</cp:revision>
  <dcterms:created xsi:type="dcterms:W3CDTF">2018-03-06T06:47:00Z</dcterms:created>
  <dcterms:modified xsi:type="dcterms:W3CDTF">2018-04-13T08:13:00Z</dcterms:modified>
</cp:coreProperties>
</file>