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593F9" w14:textId="294A9B77" w:rsidR="00B160F1" w:rsidRDefault="00B160F1" w:rsidP="00B160F1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Příloha č. </w:t>
      </w:r>
      <w:r w:rsidR="00917B85">
        <w:rPr>
          <w:rFonts w:ascii="Segoe UI" w:hAnsi="Segoe UI" w:cs="Segoe UI"/>
          <w:b/>
        </w:rPr>
        <w:t>4</w:t>
      </w:r>
      <w:r>
        <w:rPr>
          <w:rFonts w:ascii="Segoe UI" w:hAnsi="Segoe UI" w:cs="Segoe UI"/>
          <w:b/>
        </w:rPr>
        <w:t xml:space="preserve"> Smlouvy o zajištění full-</w:t>
      </w:r>
      <w:proofErr w:type="spellStart"/>
      <w:r>
        <w:rPr>
          <w:rFonts w:ascii="Segoe UI" w:hAnsi="Segoe UI" w:cs="Segoe UI"/>
          <w:b/>
        </w:rPr>
        <w:t>service</w:t>
      </w:r>
      <w:proofErr w:type="spellEnd"/>
      <w:r>
        <w:rPr>
          <w:rFonts w:ascii="Segoe UI" w:hAnsi="Segoe UI" w:cs="Segoe UI"/>
          <w:b/>
        </w:rPr>
        <w:t xml:space="preserve"> železničních elektrických jednotek</w:t>
      </w:r>
    </w:p>
    <w:p w14:paraId="51B7ED5C" w14:textId="67C36088" w:rsidR="00717AB7" w:rsidRPr="002E6142" w:rsidRDefault="00717AB7" w:rsidP="00B160F1">
      <w:pPr>
        <w:autoSpaceDE w:val="0"/>
        <w:autoSpaceDN w:val="0"/>
        <w:spacing w:before="120" w:after="120"/>
        <w:jc w:val="both"/>
        <w:rPr>
          <w:rFonts w:ascii="Segoe UI" w:eastAsia="Times New Roman" w:hAnsi="Segoe UI" w:cs="Segoe UI"/>
          <w:b/>
        </w:rPr>
      </w:pPr>
      <w:r w:rsidRPr="002E6142">
        <w:rPr>
          <w:rFonts w:ascii="Segoe UI" w:eastAsia="Times New Roman" w:hAnsi="Segoe UI" w:cs="Segoe UI"/>
          <w:b/>
        </w:rPr>
        <w:t>Parametry náhradní jednotky</w:t>
      </w:r>
    </w:p>
    <w:p w14:paraId="1819B140" w14:textId="77777777" w:rsidR="00735346" w:rsidRPr="001726BA" w:rsidRDefault="00735346" w:rsidP="00735346">
      <w:pPr>
        <w:numPr>
          <w:ilvl w:val="0"/>
          <w:numId w:val="1"/>
        </w:numPr>
        <w:autoSpaceDE w:val="0"/>
        <w:autoSpaceDN w:val="0"/>
        <w:spacing w:before="120" w:after="120" w:line="240" w:lineRule="auto"/>
        <w:jc w:val="both"/>
        <w:rPr>
          <w:rFonts w:ascii="Segoe UI" w:eastAsia="Calibri" w:hAnsi="Segoe UI" w:cs="Segoe UI"/>
        </w:rPr>
      </w:pPr>
      <w:r w:rsidRPr="001726BA">
        <w:rPr>
          <w:rFonts w:ascii="Segoe UI" w:eastAsia="Calibri" w:hAnsi="Segoe UI" w:cs="Segoe UI"/>
        </w:rPr>
        <w:t xml:space="preserve">Náhradní jednotka musí </w:t>
      </w:r>
      <w:r w:rsidR="00516086" w:rsidRPr="001726BA">
        <w:rPr>
          <w:rFonts w:ascii="Segoe UI" w:eastAsia="Calibri" w:hAnsi="Segoe UI" w:cs="Segoe UI"/>
        </w:rPr>
        <w:t>splňovat minimálně následující parametry</w:t>
      </w:r>
      <w:r w:rsidRPr="001726BA">
        <w:rPr>
          <w:rFonts w:ascii="Segoe UI" w:eastAsia="Calibri" w:hAnsi="Segoe UI" w:cs="Segoe UI"/>
        </w:rPr>
        <w:t>:</w:t>
      </w:r>
    </w:p>
    <w:p w14:paraId="2CB19B06" w14:textId="77777777" w:rsidR="00F20D17" w:rsidRPr="001726BA" w:rsidRDefault="00F20D17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vratná souprava,</w:t>
      </w:r>
    </w:p>
    <w:p w14:paraId="3495068E" w14:textId="77777777" w:rsidR="00F20D17" w:rsidRPr="001726BA" w:rsidRDefault="00F20D17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proofErr w:type="spellStart"/>
      <w:r w:rsidRPr="001726BA">
        <w:rPr>
          <w:rFonts w:ascii="Segoe UI" w:eastAsia="Times New Roman" w:hAnsi="Segoe UI" w:cs="Segoe UI"/>
        </w:rPr>
        <w:t>obsaditelnost</w:t>
      </w:r>
      <w:proofErr w:type="spellEnd"/>
      <w:r w:rsidRPr="001726BA">
        <w:rPr>
          <w:rFonts w:ascii="Segoe UI" w:eastAsia="Times New Roman" w:hAnsi="Segoe UI" w:cs="Segoe UI"/>
        </w:rPr>
        <w:t xml:space="preserve"> soupravy stejná,</w:t>
      </w:r>
      <w:r w:rsidR="0027567D" w:rsidRPr="001726BA">
        <w:rPr>
          <w:rFonts w:ascii="Segoe UI" w:eastAsia="Times New Roman" w:hAnsi="Segoe UI" w:cs="Segoe UI"/>
        </w:rPr>
        <w:t xml:space="preserve"> nebo vyšší,</w:t>
      </w:r>
      <w:r w:rsidRPr="001726BA">
        <w:rPr>
          <w:rFonts w:ascii="Segoe UI" w:eastAsia="Times New Roman" w:hAnsi="Segoe UI" w:cs="Segoe UI"/>
        </w:rPr>
        <w:t xml:space="preserve"> jako </w:t>
      </w:r>
      <w:r w:rsidR="00717AB7">
        <w:rPr>
          <w:rFonts w:ascii="Segoe UI" w:eastAsia="Times New Roman" w:hAnsi="Segoe UI" w:cs="Segoe UI"/>
        </w:rPr>
        <w:t>J</w:t>
      </w:r>
      <w:r w:rsidRPr="001726BA">
        <w:rPr>
          <w:rFonts w:ascii="Segoe UI" w:eastAsia="Times New Roman" w:hAnsi="Segoe UI" w:cs="Segoe UI"/>
        </w:rPr>
        <w:t>ednotka,</w:t>
      </w:r>
      <w:r w:rsidR="00717AB7">
        <w:rPr>
          <w:rFonts w:ascii="Segoe UI" w:eastAsia="Times New Roman" w:hAnsi="Segoe UI" w:cs="Segoe UI"/>
        </w:rPr>
        <w:t xml:space="preserve"> kterou nahrazuje,</w:t>
      </w:r>
    </w:p>
    <w:p w14:paraId="5429331A" w14:textId="77777777" w:rsidR="00F20D17" w:rsidRPr="001726BA" w:rsidRDefault="00F20D17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souprava bude sestavená z velkoprostorových vozů,</w:t>
      </w:r>
    </w:p>
    <w:p w14:paraId="4B9A4B27" w14:textId="77777777" w:rsidR="00F20D17" w:rsidRPr="001726BA" w:rsidRDefault="00F20D17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souprava bude vybavena systémem centrálního zavírání dveří, které budou za jízdy blokované</w:t>
      </w:r>
      <w:r w:rsidR="00717AB7">
        <w:rPr>
          <w:rFonts w:ascii="Segoe UI" w:eastAsia="Times New Roman" w:hAnsi="Segoe UI" w:cs="Segoe UI"/>
        </w:rPr>
        <w:t>,</w:t>
      </w:r>
    </w:p>
    <w:p w14:paraId="794207C8" w14:textId="77777777" w:rsidR="00735346" w:rsidRPr="001726BA" w:rsidRDefault="00735346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vybaven</w:t>
      </w:r>
      <w:r w:rsidR="00516086" w:rsidRPr="001726BA">
        <w:rPr>
          <w:rFonts w:ascii="Segoe UI" w:eastAsia="Times New Roman" w:hAnsi="Segoe UI" w:cs="Segoe UI"/>
        </w:rPr>
        <w:t>í</w:t>
      </w:r>
      <w:r w:rsidRPr="001726BA">
        <w:rPr>
          <w:rFonts w:ascii="Segoe UI" w:eastAsia="Times New Roman" w:hAnsi="Segoe UI" w:cs="Segoe UI"/>
        </w:rPr>
        <w:t xml:space="preserve"> klimatizací v prostorách pro cestující,</w:t>
      </w:r>
    </w:p>
    <w:p w14:paraId="75318415" w14:textId="77777777" w:rsidR="00F20D17" w:rsidRPr="001726BA" w:rsidRDefault="00F20D17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vybavena zásuvkami s napětím 230 V pro napájení drobné elektroniky a přenosných počítačů v počtu nejméně jedné zásuvky na 4 místa k sezení (s výjimkou sklopných sedaček)</w:t>
      </w:r>
      <w:r w:rsidR="00717AB7">
        <w:rPr>
          <w:rFonts w:ascii="Segoe UI" w:eastAsia="Times New Roman" w:hAnsi="Segoe UI" w:cs="Segoe UI"/>
        </w:rPr>
        <w:t>,</w:t>
      </w:r>
    </w:p>
    <w:p w14:paraId="07A5005C" w14:textId="77777777" w:rsidR="00516086" w:rsidRPr="001726BA" w:rsidRDefault="00BE4F32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obd</w:t>
      </w:r>
      <w:r w:rsidR="00717AB7">
        <w:rPr>
          <w:rFonts w:ascii="Segoe UI" w:eastAsia="Times New Roman" w:hAnsi="Segoe UI" w:cs="Segoe UI"/>
        </w:rPr>
        <w:t>obné dynamické vlastnosti jako J</w:t>
      </w:r>
      <w:r w:rsidRPr="001726BA">
        <w:rPr>
          <w:rFonts w:ascii="Segoe UI" w:eastAsia="Times New Roman" w:hAnsi="Segoe UI" w:cs="Segoe UI"/>
        </w:rPr>
        <w:t>ednotka, jíž tato souprav</w:t>
      </w:r>
      <w:r w:rsidR="00F20D17" w:rsidRPr="001726BA">
        <w:rPr>
          <w:rFonts w:ascii="Segoe UI" w:eastAsia="Times New Roman" w:hAnsi="Segoe UI" w:cs="Segoe UI"/>
        </w:rPr>
        <w:t xml:space="preserve">a nahrazuje; zejména zrychlení, </w:t>
      </w:r>
      <w:r w:rsidRPr="001726BA">
        <w:rPr>
          <w:rFonts w:ascii="Segoe UI" w:eastAsia="Times New Roman" w:hAnsi="Segoe UI" w:cs="Segoe UI"/>
        </w:rPr>
        <w:t>maximální rychlost,</w:t>
      </w:r>
      <w:r w:rsidR="00F20D17" w:rsidRPr="001726BA">
        <w:rPr>
          <w:rFonts w:ascii="Segoe UI" w:eastAsia="Times New Roman" w:hAnsi="Segoe UI" w:cs="Segoe UI"/>
        </w:rPr>
        <w:t xml:space="preserve"> technologická doba pro úvrať</w:t>
      </w:r>
      <w:r w:rsidR="00717AB7">
        <w:rPr>
          <w:rFonts w:ascii="Segoe UI" w:eastAsia="Times New Roman" w:hAnsi="Segoe UI" w:cs="Segoe UI"/>
        </w:rPr>
        <w:t>,</w:t>
      </w:r>
    </w:p>
    <w:p w14:paraId="600B7E18" w14:textId="77777777" w:rsidR="00735346" w:rsidRPr="001726BA" w:rsidRDefault="00BE4F32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nejméně</w:t>
      </w:r>
      <w:r w:rsidR="00735346" w:rsidRPr="001726BA">
        <w:rPr>
          <w:rFonts w:ascii="Segoe UI" w:eastAsia="Times New Roman" w:hAnsi="Segoe UI" w:cs="Segoe UI"/>
        </w:rPr>
        <w:t xml:space="preserve"> jeden vůz v soupravě </w:t>
      </w:r>
      <w:r w:rsidRPr="001726BA">
        <w:rPr>
          <w:rFonts w:ascii="Segoe UI" w:eastAsia="Times New Roman" w:hAnsi="Segoe UI" w:cs="Segoe UI"/>
        </w:rPr>
        <w:t>bude</w:t>
      </w:r>
      <w:r w:rsidR="00735346" w:rsidRPr="001726BA">
        <w:rPr>
          <w:rFonts w:ascii="Segoe UI" w:eastAsia="Times New Roman" w:hAnsi="Segoe UI" w:cs="Segoe UI"/>
        </w:rPr>
        <w:t xml:space="preserve"> vybaven pro přepravu osob se sníženou schopností pohybu a orientace v souladu s článkem 4.2.2 „Vozidla“ předpisu TSI pro osoby s omezenou schopností pohybu a orientace</w:t>
      </w:r>
      <w:r w:rsidR="00F20D17" w:rsidRPr="001726BA">
        <w:rPr>
          <w:rFonts w:ascii="Segoe UI" w:eastAsia="Times New Roman" w:hAnsi="Segoe UI" w:cs="Segoe UI"/>
        </w:rPr>
        <w:t xml:space="preserve"> (postačuje </w:t>
      </w:r>
      <w:r w:rsidR="00A76888" w:rsidRPr="001726BA">
        <w:rPr>
          <w:rFonts w:ascii="Segoe UI" w:eastAsia="Times New Roman" w:hAnsi="Segoe UI" w:cs="Segoe UI"/>
        </w:rPr>
        <w:t xml:space="preserve">vagónová zdvihací </w:t>
      </w:r>
      <w:r w:rsidR="00F20D17" w:rsidRPr="001726BA">
        <w:rPr>
          <w:rFonts w:ascii="Segoe UI" w:eastAsia="Times New Roman" w:hAnsi="Segoe UI" w:cs="Segoe UI"/>
        </w:rPr>
        <w:t>plošina)</w:t>
      </w:r>
      <w:r w:rsidR="00735346" w:rsidRPr="001726BA">
        <w:rPr>
          <w:rFonts w:ascii="Segoe UI" w:eastAsia="Times New Roman" w:hAnsi="Segoe UI" w:cs="Segoe UI"/>
        </w:rPr>
        <w:t>,</w:t>
      </w:r>
      <w:r w:rsidRPr="001726BA">
        <w:rPr>
          <w:rFonts w:ascii="Segoe UI" w:eastAsia="Times New Roman" w:hAnsi="Segoe UI" w:cs="Segoe UI"/>
        </w:rPr>
        <w:t xml:space="preserve"> </w:t>
      </w:r>
    </w:p>
    <w:p w14:paraId="33F15329" w14:textId="77777777" w:rsidR="00735346" w:rsidRPr="001726BA" w:rsidRDefault="00735346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 xml:space="preserve">vybavena toaletou </w:t>
      </w:r>
      <w:proofErr w:type="gramStart"/>
      <w:r w:rsidRPr="001726BA">
        <w:rPr>
          <w:rFonts w:ascii="Segoe UI" w:eastAsia="Times New Roman" w:hAnsi="Segoe UI" w:cs="Segoe UI"/>
        </w:rPr>
        <w:t>minimálně  dle</w:t>
      </w:r>
      <w:proofErr w:type="gramEnd"/>
      <w:r w:rsidRPr="001726BA">
        <w:rPr>
          <w:rFonts w:ascii="Segoe UI" w:eastAsia="Times New Roman" w:hAnsi="Segoe UI" w:cs="Segoe UI"/>
        </w:rPr>
        <w:t xml:space="preserve"> platných norem TSI (ve vztahu k počtu míst k sezení), přičemž alespoň jedno WC v soupravě musí být bezbariérově dostupné dle příslušných předpisů TSI</w:t>
      </w:r>
      <w:r w:rsidRPr="001726BA">
        <w:rPr>
          <w:rFonts w:ascii="Segoe UI" w:eastAsia="Times New Roman" w:hAnsi="Segoe UI" w:cs="Segoe UI"/>
          <w:vertAlign w:val="superscript"/>
        </w:rPr>
        <w:footnoteReference w:id="1"/>
      </w:r>
      <w:r w:rsidR="00717AB7">
        <w:rPr>
          <w:rFonts w:ascii="Segoe UI" w:eastAsia="Times New Roman" w:hAnsi="Segoe UI" w:cs="Segoe UI"/>
        </w:rPr>
        <w:t xml:space="preserve"> </w:t>
      </w:r>
      <w:r w:rsidRPr="001726BA">
        <w:rPr>
          <w:rFonts w:ascii="Segoe UI" w:eastAsia="Times New Roman" w:hAnsi="Segoe UI" w:cs="Segoe UI"/>
        </w:rPr>
        <w:t>-  přípustné jsou pouze toalety s uzavřeným systémem,</w:t>
      </w:r>
    </w:p>
    <w:p w14:paraId="4C1009B6" w14:textId="77777777" w:rsidR="00735346" w:rsidRPr="001726BA" w:rsidRDefault="00735346" w:rsidP="0073534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1726BA">
        <w:rPr>
          <w:rFonts w:ascii="Segoe UI" w:eastAsia="Times New Roman" w:hAnsi="Segoe UI" w:cs="Segoe UI"/>
        </w:rPr>
        <w:t>dle platných norem TSI (ve vztahu k počtu míst k sezení) připadne v soupravě příslušný počet míst pro přepravu dětských kočárků a na každých 100 míst k sezení připadnou v soupravě alespoň 2 místa pro přepravu jízdních kol (variantně lyží), vozidla jsou vybavena systémem centrálního zavírání a blokování dveří,</w:t>
      </w:r>
    </w:p>
    <w:p w14:paraId="307EF135" w14:textId="77777777" w:rsidR="00650086" w:rsidRDefault="00717AB7" w:rsidP="00650086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náhradní jednotka</w:t>
      </w:r>
      <w:r w:rsidR="00F20D17" w:rsidRPr="001726BA">
        <w:rPr>
          <w:rFonts w:ascii="Segoe UI" w:eastAsia="Times New Roman" w:hAnsi="Segoe UI" w:cs="Segoe UI"/>
        </w:rPr>
        <w:t xml:space="preserve"> musí být schopna provozu na všech trat</w:t>
      </w:r>
      <w:r>
        <w:rPr>
          <w:rFonts w:ascii="Segoe UI" w:eastAsia="Times New Roman" w:hAnsi="Segoe UI" w:cs="Segoe UI"/>
        </w:rPr>
        <w:t>ích, na nichž jsou provozovány J</w:t>
      </w:r>
      <w:r w:rsidR="00F20D17" w:rsidRPr="001726BA">
        <w:rPr>
          <w:rFonts w:ascii="Segoe UI" w:eastAsia="Times New Roman" w:hAnsi="Segoe UI" w:cs="Segoe UI"/>
        </w:rPr>
        <w:t xml:space="preserve">ednotky. </w:t>
      </w:r>
      <w:r>
        <w:rPr>
          <w:rFonts w:ascii="Segoe UI" w:eastAsia="Times New Roman" w:hAnsi="Segoe UI" w:cs="Segoe UI"/>
        </w:rPr>
        <w:t>N</w:t>
      </w:r>
      <w:r w:rsidR="00F20D17" w:rsidRPr="001726BA">
        <w:rPr>
          <w:rFonts w:ascii="Segoe UI" w:eastAsia="Times New Roman" w:hAnsi="Segoe UI" w:cs="Segoe UI"/>
        </w:rPr>
        <w:t xml:space="preserve">utnost vybavení příslušným </w:t>
      </w:r>
      <w:r w:rsidR="00735346" w:rsidRPr="001726BA">
        <w:rPr>
          <w:rFonts w:ascii="Segoe UI" w:eastAsia="Times New Roman" w:hAnsi="Segoe UI" w:cs="Segoe UI"/>
        </w:rPr>
        <w:t xml:space="preserve">technickým mobilním zařízením, potřebným pro činnost systémů GSM-R a ETCS, pokud budou </w:t>
      </w:r>
      <w:r>
        <w:rPr>
          <w:rFonts w:ascii="Segoe UI" w:eastAsia="Times New Roman" w:hAnsi="Segoe UI" w:cs="Segoe UI"/>
        </w:rPr>
        <w:t xml:space="preserve">Jednotky </w:t>
      </w:r>
      <w:r w:rsidR="00735346" w:rsidRPr="001726BA">
        <w:rPr>
          <w:rFonts w:ascii="Segoe UI" w:eastAsia="Times New Roman" w:hAnsi="Segoe UI" w:cs="Segoe UI"/>
        </w:rPr>
        <w:t>provozován</w:t>
      </w:r>
      <w:r>
        <w:rPr>
          <w:rFonts w:ascii="Segoe UI" w:eastAsia="Times New Roman" w:hAnsi="Segoe UI" w:cs="Segoe UI"/>
        </w:rPr>
        <w:t>y</w:t>
      </w:r>
      <w:r w:rsidR="00735346" w:rsidRPr="001726BA">
        <w:rPr>
          <w:rFonts w:ascii="Segoe UI" w:eastAsia="Times New Roman" w:hAnsi="Segoe UI" w:cs="Segoe UI"/>
        </w:rPr>
        <w:t xml:space="preserve"> na tratích, na kterých se dle Národního implementačního plánu ERTMS počítá s implementací ETCS level 2, s výjimkou případů, u nichž se aplikuje článek 9, odstavec 1, písmeno a) směrnice č. 2008/57, přičemž v těchto případech budou vozidla dovybavena do 5 let</w:t>
      </w:r>
      <w:r w:rsidR="00C73A26">
        <w:rPr>
          <w:rFonts w:ascii="Segoe UI" w:eastAsia="Times New Roman" w:hAnsi="Segoe UI" w:cs="Segoe UI"/>
        </w:rPr>
        <w:t xml:space="preserve"> od jejich schválení do provozu,</w:t>
      </w:r>
    </w:p>
    <w:p w14:paraId="6263D235" w14:textId="33616DB6" w:rsidR="00594B81" w:rsidRPr="000375B7" w:rsidRDefault="00051B5B" w:rsidP="000375B7">
      <w:pPr>
        <w:numPr>
          <w:ilvl w:val="1"/>
          <w:numId w:val="1"/>
        </w:numPr>
        <w:autoSpaceDE w:val="0"/>
        <w:autoSpaceDN w:val="0"/>
        <w:spacing w:after="0" w:line="288" w:lineRule="auto"/>
        <w:jc w:val="both"/>
        <w:rPr>
          <w:rFonts w:ascii="Segoe UI" w:eastAsia="Times New Roman" w:hAnsi="Segoe UI" w:cs="Segoe UI"/>
        </w:rPr>
      </w:pPr>
      <w:r w:rsidRPr="00650086">
        <w:rPr>
          <w:rFonts w:ascii="Segoe UI" w:eastAsia="Times New Roman" w:hAnsi="Segoe UI" w:cs="Segoe UI"/>
        </w:rPr>
        <w:lastRenderedPageBreak/>
        <w:t xml:space="preserve">v případě, že náhradní jednotka má být do provozu nasazena </w:t>
      </w:r>
      <w:r w:rsidR="009E770B" w:rsidRPr="00650086">
        <w:rPr>
          <w:rFonts w:ascii="Segoe UI" w:eastAsia="Times New Roman" w:hAnsi="Segoe UI" w:cs="Segoe UI"/>
        </w:rPr>
        <w:t>po</w:t>
      </w:r>
      <w:r w:rsidRPr="00650086">
        <w:rPr>
          <w:rFonts w:ascii="Segoe UI" w:eastAsia="Times New Roman" w:hAnsi="Segoe UI" w:cs="Segoe UI"/>
        </w:rPr>
        <w:t xml:space="preserve"> dobu delší než 1 měsíc, musí být vybavena plně funkčním akustickým a vizuálním vnitřním i vnějším informačním systémem a </w:t>
      </w:r>
      <w:proofErr w:type="spellStart"/>
      <w:r w:rsidRPr="00650086">
        <w:rPr>
          <w:rFonts w:ascii="Segoe UI" w:eastAsia="Times New Roman" w:hAnsi="Segoe UI" w:cs="Segoe UI"/>
        </w:rPr>
        <w:t>WiFi</w:t>
      </w:r>
      <w:proofErr w:type="spellEnd"/>
      <w:r w:rsidRPr="00650086">
        <w:rPr>
          <w:rFonts w:ascii="Segoe UI" w:eastAsia="Times New Roman" w:hAnsi="Segoe UI" w:cs="Segoe UI"/>
        </w:rPr>
        <w:t xml:space="preserve"> pro cestující odpovídajícím požadavkům na </w:t>
      </w:r>
      <w:r w:rsidR="00920A09" w:rsidRPr="00650086">
        <w:rPr>
          <w:rFonts w:ascii="Segoe UI" w:eastAsia="Times New Roman" w:hAnsi="Segoe UI" w:cs="Segoe UI"/>
        </w:rPr>
        <w:t>J</w:t>
      </w:r>
      <w:r w:rsidRPr="00650086">
        <w:rPr>
          <w:rFonts w:ascii="Segoe UI" w:eastAsia="Times New Roman" w:hAnsi="Segoe UI" w:cs="Segoe UI"/>
        </w:rPr>
        <w:t>ednotku.</w:t>
      </w:r>
      <w:r w:rsidR="00917B85">
        <w:rPr>
          <w:rFonts w:ascii="Segoe UI" w:eastAsia="Times New Roman" w:hAnsi="Segoe UI" w:cs="Segoe UI"/>
        </w:rPr>
        <w:t xml:space="preserve"> V</w:t>
      </w:r>
      <w:r w:rsidR="00594B81" w:rsidRPr="000375B7">
        <w:rPr>
          <w:rFonts w:ascii="Segoe UI" w:eastAsia="Times New Roman" w:hAnsi="Segoe UI" w:cs="Segoe UI"/>
        </w:rPr>
        <w:t xml:space="preserve"> těsné blízkosti místa pro přepravu osob s omezenou schopností pohybu a orientace vymezený prostor o ploše cca 1 x 1 m pro umístění </w:t>
      </w:r>
      <w:r w:rsidR="009E770B" w:rsidRPr="000375B7">
        <w:rPr>
          <w:rFonts w:ascii="Segoe UI" w:eastAsia="Times New Roman" w:hAnsi="Segoe UI" w:cs="Segoe UI"/>
        </w:rPr>
        <w:t xml:space="preserve">a uchycení </w:t>
      </w:r>
      <w:r w:rsidR="00594B81" w:rsidRPr="000375B7">
        <w:rPr>
          <w:rFonts w:ascii="Segoe UI" w:eastAsia="Times New Roman" w:hAnsi="Segoe UI" w:cs="Segoe UI"/>
        </w:rPr>
        <w:t xml:space="preserve">provizorního odbavovacího zařízení. U tohoto prostoru musí být i zásuvka 230 </w:t>
      </w:r>
      <w:bookmarkStart w:id="0" w:name="_GoBack"/>
      <w:r w:rsidR="00594B81" w:rsidRPr="000375B7">
        <w:rPr>
          <w:rFonts w:ascii="Segoe UI" w:eastAsia="Times New Roman" w:hAnsi="Segoe UI" w:cs="Segoe UI"/>
        </w:rPr>
        <w:t>V</w:t>
      </w:r>
      <w:bookmarkEnd w:id="0"/>
      <w:r w:rsidR="00594B81" w:rsidRPr="000375B7">
        <w:rPr>
          <w:rFonts w:ascii="Segoe UI" w:eastAsia="Times New Roman" w:hAnsi="Segoe UI" w:cs="Segoe UI"/>
        </w:rPr>
        <w:t xml:space="preserve">. </w:t>
      </w:r>
    </w:p>
    <w:p w14:paraId="32C34660" w14:textId="77777777" w:rsidR="00C61FFD" w:rsidRPr="001726BA" w:rsidRDefault="00C61FFD" w:rsidP="00C61FFD">
      <w:pPr>
        <w:autoSpaceDE w:val="0"/>
        <w:autoSpaceDN w:val="0"/>
        <w:spacing w:before="120" w:after="12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</w:p>
    <w:sectPr w:rsidR="00C61FFD" w:rsidRPr="001726BA" w:rsidSect="00571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3340C" w14:textId="77777777" w:rsidR="008252E5" w:rsidRDefault="008252E5" w:rsidP="00735346">
      <w:pPr>
        <w:spacing w:after="0" w:line="240" w:lineRule="auto"/>
      </w:pPr>
      <w:r>
        <w:separator/>
      </w:r>
    </w:p>
  </w:endnote>
  <w:endnote w:type="continuationSeparator" w:id="0">
    <w:p w14:paraId="2DF8C9EB" w14:textId="77777777" w:rsidR="008252E5" w:rsidRDefault="008252E5" w:rsidP="00735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E5EA5" w14:textId="77777777" w:rsidR="008252E5" w:rsidRDefault="008252E5" w:rsidP="00735346">
      <w:pPr>
        <w:spacing w:after="0" w:line="240" w:lineRule="auto"/>
      </w:pPr>
      <w:r>
        <w:separator/>
      </w:r>
    </w:p>
  </w:footnote>
  <w:footnote w:type="continuationSeparator" w:id="0">
    <w:p w14:paraId="3A31861C" w14:textId="77777777" w:rsidR="008252E5" w:rsidRDefault="008252E5" w:rsidP="00735346">
      <w:pPr>
        <w:spacing w:after="0" w:line="240" w:lineRule="auto"/>
      </w:pPr>
      <w:r>
        <w:continuationSeparator/>
      </w:r>
    </w:p>
  </w:footnote>
  <w:footnote w:id="1">
    <w:p w14:paraId="7F5E3F54" w14:textId="77777777" w:rsidR="00735346" w:rsidRDefault="00735346" w:rsidP="00735346">
      <w:pPr>
        <w:pStyle w:val="Textpoznpodarou"/>
        <w:spacing w:after="80"/>
        <w:jc w:val="both"/>
      </w:pPr>
      <w:r w:rsidRPr="00A46441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A46441">
        <w:rPr>
          <w:rFonts w:ascii="Segoe UI" w:hAnsi="Segoe UI" w:cs="Segoe UI"/>
          <w:sz w:val="18"/>
          <w:szCs w:val="18"/>
        </w:rPr>
        <w:t xml:space="preserve"> Podle článku 4.2.2.5 „Toalety“ a 5.3.2.4 „Univerzální toaleta“ rozhodnutí komise 1300/2014/EU ze dne 18. listopadu 2014 o technických specifikacích pro interoperabilitu týkajících se přístupnosti železničního systému Unie pro osoby se zdravotním postižením a osoby s omezenou schopností pohybu a orientace.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02603"/>
    <w:multiLevelType w:val="hybridMultilevel"/>
    <w:tmpl w:val="1AE07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346"/>
    <w:rsid w:val="000375B7"/>
    <w:rsid w:val="00051B5B"/>
    <w:rsid w:val="001726BA"/>
    <w:rsid w:val="001A0AF5"/>
    <w:rsid w:val="0027567D"/>
    <w:rsid w:val="002E6142"/>
    <w:rsid w:val="00310C0D"/>
    <w:rsid w:val="003E57B0"/>
    <w:rsid w:val="00515841"/>
    <w:rsid w:val="00516086"/>
    <w:rsid w:val="0054247B"/>
    <w:rsid w:val="00571CF1"/>
    <w:rsid w:val="00594B81"/>
    <w:rsid w:val="00650086"/>
    <w:rsid w:val="00717AB7"/>
    <w:rsid w:val="00735346"/>
    <w:rsid w:val="008252E5"/>
    <w:rsid w:val="008D1F1F"/>
    <w:rsid w:val="008E3512"/>
    <w:rsid w:val="00907F7C"/>
    <w:rsid w:val="00917B85"/>
    <w:rsid w:val="00920A09"/>
    <w:rsid w:val="00937513"/>
    <w:rsid w:val="00973970"/>
    <w:rsid w:val="009E770B"/>
    <w:rsid w:val="00A76888"/>
    <w:rsid w:val="00B160F1"/>
    <w:rsid w:val="00B3044E"/>
    <w:rsid w:val="00B64FF4"/>
    <w:rsid w:val="00BE4F32"/>
    <w:rsid w:val="00C61FFD"/>
    <w:rsid w:val="00C73A26"/>
    <w:rsid w:val="00CD278C"/>
    <w:rsid w:val="00CF09D3"/>
    <w:rsid w:val="00E62C47"/>
    <w:rsid w:val="00F16C6D"/>
    <w:rsid w:val="00F20D17"/>
    <w:rsid w:val="00F3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C14E"/>
  <w15:docId w15:val="{723BA466-0FCF-48D4-B80B-2C2FB2C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3534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35346"/>
    <w:rPr>
      <w:sz w:val="20"/>
      <w:szCs w:val="20"/>
    </w:rPr>
  </w:style>
  <w:style w:type="character" w:styleId="Odkaznakoment">
    <w:name w:val="annotation reference"/>
    <w:basedOn w:val="Standardnpsmoodstavce"/>
    <w:rsid w:val="007353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53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3534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"/>
    <w:uiPriority w:val="99"/>
    <w:rsid w:val="00735346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534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1F1F"/>
    <w:pPr>
      <w:autoSpaceDE/>
      <w:autoSpaceDN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1F1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6D2E3-1A1C-48E7-BC71-AF67AD7F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jacurmar</dc:creator>
  <cp:lastModifiedBy>Martin Látal</cp:lastModifiedBy>
  <cp:revision>2</cp:revision>
  <dcterms:created xsi:type="dcterms:W3CDTF">2019-02-08T12:09:00Z</dcterms:created>
  <dcterms:modified xsi:type="dcterms:W3CDTF">2019-02-08T12:09:00Z</dcterms:modified>
</cp:coreProperties>
</file>