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3F0D50">
        <w:rPr>
          <w:b/>
          <w:sz w:val="32"/>
          <w:szCs w:val="32"/>
        </w:rPr>
        <w:t>21</w:t>
      </w:r>
    </w:p>
    <w:p w:rsidR="00C0002F" w:rsidRPr="003A3785" w:rsidRDefault="00A975B8" w:rsidP="00A975B8">
      <w:pPr>
        <w:pStyle w:val="Zhlav"/>
        <w:tabs>
          <w:tab w:val="left" w:pos="0"/>
        </w:tabs>
        <w:jc w:val="center"/>
        <w:rPr>
          <w:b/>
          <w:i/>
          <w:sz w:val="32"/>
          <w:szCs w:val="32"/>
        </w:rPr>
      </w:pPr>
      <w:r w:rsidRPr="00A975B8">
        <w:rPr>
          <w:b/>
          <w:sz w:val="32"/>
          <w:szCs w:val="32"/>
        </w:rPr>
        <w:t xml:space="preserve">– </w:t>
      </w:r>
      <w:proofErr w:type="spellStart"/>
      <w:r w:rsidRPr="00A975B8">
        <w:rPr>
          <w:b/>
          <w:sz w:val="32"/>
          <w:szCs w:val="32"/>
        </w:rPr>
        <w:t>cestmistrovství</w:t>
      </w:r>
      <w:proofErr w:type="spellEnd"/>
      <w:r w:rsidRPr="00A975B8">
        <w:rPr>
          <w:b/>
          <w:sz w:val="32"/>
          <w:szCs w:val="32"/>
        </w:rPr>
        <w:t xml:space="preserve"> </w:t>
      </w:r>
      <w:r w:rsidR="003F0D50">
        <w:rPr>
          <w:b/>
          <w:sz w:val="32"/>
          <w:szCs w:val="32"/>
        </w:rPr>
        <w:t xml:space="preserve">Blansko a </w:t>
      </w:r>
      <w:r w:rsidR="008F74D3">
        <w:rPr>
          <w:b/>
          <w:sz w:val="32"/>
          <w:szCs w:val="32"/>
        </w:rPr>
        <w:t>Boskovice</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proofErr w:type="spellStart"/>
      <w:r>
        <w:rPr>
          <w:sz w:val="22"/>
          <w:szCs w:val="22"/>
        </w:rPr>
        <w:t>sp</w:t>
      </w:r>
      <w:proofErr w:type="spellEnd"/>
      <w:r>
        <w:rPr>
          <w:sz w:val="22"/>
          <w:szCs w:val="22"/>
        </w:rPr>
        <w:t xml:space="preserve">. zn. </w:t>
      </w:r>
      <w:proofErr w:type="spellStart"/>
      <w:r w:rsidRPr="00146EE7">
        <w:rPr>
          <w:sz w:val="22"/>
          <w:szCs w:val="22"/>
        </w:rPr>
        <w:t>Pr</w:t>
      </w:r>
      <w:proofErr w:type="spellEnd"/>
      <w:r w:rsidRPr="00146EE7">
        <w:rPr>
          <w:sz w:val="22"/>
          <w:szCs w:val="22"/>
        </w:rPr>
        <w:t xml:space="preserve">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proofErr w:type="gramStart"/>
      <w:r w:rsidRPr="00051C55">
        <w:rPr>
          <w:sz w:val="22"/>
          <w:szCs w:val="22"/>
          <w:highlight w:val="yellow"/>
        </w:rPr>
        <w:t>…..</w:t>
      </w:r>
      <w:proofErr w:type="gramEnd"/>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proofErr w:type="spellStart"/>
      <w:r>
        <w:rPr>
          <w:sz w:val="22"/>
          <w:szCs w:val="22"/>
        </w:rPr>
        <w:t>sp</w:t>
      </w:r>
      <w:proofErr w:type="spellEnd"/>
      <w:r>
        <w:rPr>
          <w:sz w:val="22"/>
          <w:szCs w:val="22"/>
        </w:rPr>
        <w:t xml:space="preserve">.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proofErr w:type="gramStart"/>
      <w:r w:rsidRPr="00051C55">
        <w:rPr>
          <w:sz w:val="22"/>
          <w:szCs w:val="22"/>
          <w:highlight w:val="yellow"/>
        </w:rPr>
        <w:t>…..</w:t>
      </w:r>
      <w:proofErr w:type="gramEnd"/>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 xml:space="preserve">( MD – 130/2016 – 120 – TN/8 ze dne </w:t>
      </w:r>
      <w:proofErr w:type="gramStart"/>
      <w:r w:rsidR="00E47840" w:rsidRPr="00E47840">
        <w:rPr>
          <w:sz w:val="22"/>
          <w:szCs w:val="22"/>
        </w:rPr>
        <w:t>22.11.2016</w:t>
      </w:r>
      <w:proofErr w:type="gramEnd"/>
      <w:r w:rsidR="00E47840" w:rsidRPr="00E47840">
        <w:rPr>
          <w:sz w:val="22"/>
          <w:szCs w:val="22"/>
        </w:rPr>
        <w:t>).</w:t>
      </w:r>
    </w:p>
    <w:p w:rsidR="00C0002F" w:rsidRPr="00E47840" w:rsidRDefault="00C0002F" w:rsidP="00BA73AF">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w:t>
      </w:r>
      <w:proofErr w:type="gramStart"/>
      <w:r w:rsidRPr="00E47840">
        <w:rPr>
          <w:sz w:val="22"/>
          <w:szCs w:val="22"/>
        </w:rPr>
        <w:t xml:space="preserve">je  </w:t>
      </w:r>
      <w:r w:rsidRPr="00E47840">
        <w:rPr>
          <w:sz w:val="22"/>
          <w:szCs w:val="22"/>
          <w:highlight w:val="yellow"/>
        </w:rPr>
        <w:t>…</w:t>
      </w:r>
      <w:proofErr w:type="gramEnd"/>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7F3EF7">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F3EF7" w:rsidRPr="007F3EF7">
        <w:rPr>
          <w:sz w:val="22"/>
          <w:szCs w:val="22"/>
        </w:rPr>
        <w:t xml:space="preserve">Ing. Zdeněk Hradecký, e-mail: </w:t>
      </w:r>
      <w:r w:rsidR="007F3EF7" w:rsidRPr="007F3EF7">
        <w:rPr>
          <w:rStyle w:val="Hypertextovodkaz"/>
          <w:sz w:val="22"/>
          <w:szCs w:val="22"/>
        </w:rPr>
        <w:t>zdenek.hradecky@susjmk.cz</w:t>
      </w:r>
      <w:r w:rsidR="007F3EF7" w:rsidRPr="007F3EF7">
        <w:rPr>
          <w:sz w:val="22"/>
          <w:szCs w:val="22"/>
        </w:rPr>
        <w:t>, tel. +420 516 481 167,</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w:t>
      </w:r>
      <w:proofErr w:type="spellStart"/>
      <w:r w:rsidR="0092300D">
        <w:rPr>
          <w:sz w:val="22"/>
          <w:szCs w:val="22"/>
        </w:rPr>
        <w:t>ce</w:t>
      </w:r>
      <w:proofErr w:type="spellEnd"/>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EC1D30">
        <w:rPr>
          <w:sz w:val="22"/>
          <w:szCs w:val="22"/>
        </w:rPr>
        <w:t>1</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7F3EF7" w:rsidRPr="007F3EF7">
        <w:rPr>
          <w:sz w:val="22"/>
          <w:szCs w:val="22"/>
        </w:rPr>
        <w:t>oblast Sever, Komenského 2, 678 11 Blansko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3F0D50">
        <w:rPr>
          <w:sz w:val="22"/>
          <w:szCs w:val="22"/>
        </w:rPr>
        <w:t>1</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3F0D50">
        <w:rPr>
          <w:sz w:val="22"/>
          <w:szCs w:val="22"/>
        </w:rPr>
        <w:t>1</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E47840">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3F0D50">
        <w:rPr>
          <w:b/>
          <w:sz w:val="22"/>
          <w:szCs w:val="22"/>
        </w:rPr>
        <w:t>1</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proofErr w:type="gramStart"/>
      <w:r w:rsidR="00C8632E">
        <w:rPr>
          <w:b/>
          <w:sz w:val="22"/>
          <w:szCs w:val="22"/>
        </w:rPr>
        <w:t>15.10.20</w:t>
      </w:r>
      <w:r w:rsidR="00AF769D">
        <w:rPr>
          <w:b/>
          <w:sz w:val="22"/>
          <w:szCs w:val="22"/>
        </w:rPr>
        <w:t>2</w:t>
      </w:r>
      <w:r w:rsidR="003F0D50">
        <w:rPr>
          <w:b/>
          <w:sz w:val="22"/>
          <w:szCs w:val="22"/>
        </w:rPr>
        <w:t>1</w:t>
      </w:r>
      <w:proofErr w:type="gramEnd"/>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EC1D30">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proofErr w:type="gramStart"/>
      <w:r>
        <w:rPr>
          <w:sz w:val="22"/>
          <w:szCs w:val="22"/>
        </w:rPr>
        <w:t>odst. 2.</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w:t>
      </w:r>
      <w:proofErr w:type="gramEnd"/>
      <w:r w:rsidRPr="007F4321">
        <w:rPr>
          <w:sz w:val="22"/>
          <w:szCs w:val="22"/>
        </w:rPr>
        <w:t xml:space="preserve">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EC1D30">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3F0D50" w:rsidRPr="007F15D8" w:rsidRDefault="003F0D50" w:rsidP="003F0D50">
      <w:pPr>
        <w:widowControl w:val="0"/>
        <w:numPr>
          <w:ilvl w:val="0"/>
          <w:numId w:val="47"/>
        </w:numPr>
        <w:autoSpaceDE w:val="0"/>
        <w:autoSpaceDN w:val="0"/>
        <w:adjustRightInd w:val="0"/>
        <w:spacing w:after="120"/>
        <w:ind w:left="425" w:hanging="425"/>
        <w:jc w:val="both"/>
        <w:rPr>
          <w:sz w:val="22"/>
          <w:szCs w:val="22"/>
        </w:rPr>
      </w:pPr>
      <w:r w:rsidRPr="007F15D8">
        <w:rPr>
          <w:sz w:val="22"/>
          <w:szCs w:val="22"/>
        </w:rPr>
        <w:lastRenderedPageBreak/>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w:t>
      </w:r>
      <w:proofErr w:type="gramStart"/>
      <w:r w:rsidRPr="007F15D8">
        <w:rPr>
          <w:sz w:val="22"/>
          <w:szCs w:val="22"/>
        </w:rPr>
        <w:t>ověřit  zveřejnění</w:t>
      </w:r>
      <w:proofErr w:type="gramEnd"/>
      <w:r w:rsidRPr="007F15D8">
        <w:rPr>
          <w:sz w:val="22"/>
          <w:szCs w:val="22"/>
        </w:rPr>
        <w:t xml:space="preserve">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3F0D50">
        <w:rPr>
          <w:sz w:val="22"/>
          <w:szCs w:val="22"/>
        </w:rPr>
        <w:t>1</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bookmarkStart w:id="0" w:name="_GoBack"/>
      <w:bookmarkEnd w:id="0"/>
    </w:p>
    <w:p w:rsidR="00C0002F" w:rsidRPr="00425398" w:rsidRDefault="00C0002F" w:rsidP="00425398">
      <w:pPr>
        <w:widowControl w:val="0"/>
        <w:autoSpaceDE w:val="0"/>
        <w:autoSpaceDN w:val="0"/>
        <w:adjustRightInd w:val="0"/>
        <w:jc w:val="both"/>
        <w:rPr>
          <w:sz w:val="28"/>
          <w:szCs w:val="28"/>
        </w:rPr>
      </w:pPr>
    </w:p>
    <w:tbl>
      <w:tblPr>
        <w:tblW w:w="9214" w:type="dxa"/>
        <w:tblInd w:w="70" w:type="dxa"/>
        <w:tblCellMar>
          <w:left w:w="70" w:type="dxa"/>
          <w:right w:w="70" w:type="dxa"/>
        </w:tblCellMar>
        <w:tblLook w:val="0000" w:firstRow="0" w:lastRow="0" w:firstColumn="0" w:lastColumn="0" w:noHBand="0" w:noVBand="0"/>
      </w:tblPr>
      <w:tblGrid>
        <w:gridCol w:w="160"/>
        <w:gridCol w:w="227"/>
        <w:gridCol w:w="98"/>
        <w:gridCol w:w="1085"/>
        <w:gridCol w:w="2786"/>
        <w:gridCol w:w="234"/>
        <w:gridCol w:w="758"/>
        <w:gridCol w:w="851"/>
        <w:gridCol w:w="725"/>
        <w:gridCol w:w="208"/>
        <w:gridCol w:w="832"/>
        <w:gridCol w:w="284"/>
        <w:gridCol w:w="966"/>
      </w:tblGrid>
      <w:tr w:rsidR="005430C8" w:rsidRPr="00D8626A" w:rsidTr="00116FAA">
        <w:trPr>
          <w:gridAfter w:val="1"/>
          <w:wAfter w:w="966"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3"/>
            <w:tcBorders>
              <w:top w:val="nil"/>
              <w:left w:val="nil"/>
              <w:bottom w:val="nil"/>
              <w:right w:val="nil"/>
            </w:tcBorders>
            <w:noWrap/>
            <w:vAlign w:val="bottom"/>
          </w:tcPr>
          <w:p w:rsidR="005430C8" w:rsidRPr="00A975B8" w:rsidRDefault="00116FAA" w:rsidP="00116FAA">
            <w:pPr>
              <w:ind w:firstLine="16"/>
              <w:rPr>
                <w:b/>
                <w:sz w:val="22"/>
                <w:szCs w:val="22"/>
                <w:u w:val="single"/>
              </w:rPr>
            </w:pPr>
            <w:r>
              <w:rPr>
                <w:b/>
                <w:sz w:val="22"/>
                <w:szCs w:val="22"/>
                <w:u w:val="single"/>
              </w:rPr>
              <w:t xml:space="preserve">Oblast Sever - </w:t>
            </w:r>
            <w:proofErr w:type="spellStart"/>
            <w:r w:rsidR="00A975B8">
              <w:rPr>
                <w:b/>
                <w:sz w:val="22"/>
                <w:szCs w:val="22"/>
                <w:u w:val="single"/>
              </w:rPr>
              <w:t>C</w:t>
            </w:r>
            <w:r w:rsidR="003C4E3B">
              <w:rPr>
                <w:b/>
                <w:sz w:val="22"/>
                <w:szCs w:val="22"/>
                <w:u w:val="single"/>
              </w:rPr>
              <w:t>estmistrovství</w:t>
            </w:r>
            <w:proofErr w:type="spellEnd"/>
            <w:r w:rsidR="003A0242">
              <w:rPr>
                <w:b/>
                <w:sz w:val="22"/>
                <w:szCs w:val="22"/>
                <w:u w:val="single"/>
              </w:rPr>
              <w:t xml:space="preserve"> </w:t>
            </w:r>
            <w:r w:rsidR="003F0D50">
              <w:rPr>
                <w:b/>
                <w:sz w:val="22"/>
                <w:szCs w:val="22"/>
                <w:u w:val="single"/>
              </w:rPr>
              <w:t>Blansko</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1609"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116FAA">
        <w:trPr>
          <w:gridAfter w:val="1"/>
          <w:wAfter w:w="966"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3969" w:type="dxa"/>
            <w:gridSpan w:val="3"/>
            <w:tcBorders>
              <w:top w:val="nil"/>
              <w:left w:val="nil"/>
              <w:bottom w:val="nil"/>
              <w:right w:val="nil"/>
            </w:tcBorders>
            <w:noWrap/>
            <w:vAlign w:val="bottom"/>
          </w:tcPr>
          <w:p w:rsidR="005430C8" w:rsidRPr="00D8626A" w:rsidRDefault="005430C8">
            <w:pPr>
              <w:rPr>
                <w:sz w:val="22"/>
                <w:szCs w:val="22"/>
              </w:rPr>
            </w:pPr>
          </w:p>
        </w:tc>
        <w:tc>
          <w:tcPr>
            <w:tcW w:w="234" w:type="dxa"/>
            <w:tcBorders>
              <w:top w:val="nil"/>
              <w:left w:val="nil"/>
              <w:bottom w:val="nil"/>
              <w:right w:val="nil"/>
            </w:tcBorders>
            <w:noWrap/>
            <w:vAlign w:val="bottom"/>
          </w:tcPr>
          <w:p w:rsidR="005430C8" w:rsidRPr="00D8626A" w:rsidRDefault="005430C8">
            <w:pPr>
              <w:rPr>
                <w:sz w:val="22"/>
                <w:szCs w:val="22"/>
              </w:rPr>
            </w:pPr>
          </w:p>
        </w:tc>
        <w:tc>
          <w:tcPr>
            <w:tcW w:w="1609"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116FAA">
        <w:tblPrEx>
          <w:tblLook w:val="04A0" w:firstRow="1" w:lastRow="0" w:firstColumn="1" w:lastColumn="0" w:noHBand="0" w:noVBand="1"/>
        </w:tblPrEx>
        <w:trPr>
          <w:trHeight w:val="282"/>
        </w:trPr>
        <w:tc>
          <w:tcPr>
            <w:tcW w:w="485"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proofErr w:type="spellStart"/>
            <w:proofErr w:type="gramStart"/>
            <w:r>
              <w:rPr>
                <w:rFonts w:ascii="Arial CE" w:hAnsi="Arial CE"/>
                <w:b/>
                <w:bCs/>
                <w:sz w:val="20"/>
                <w:szCs w:val="20"/>
              </w:rPr>
              <w:t>p.č</w:t>
            </w:r>
            <w:proofErr w:type="spellEnd"/>
            <w:r>
              <w:rPr>
                <w:rFonts w:ascii="Arial CE" w:hAnsi="Arial CE"/>
                <w:b/>
                <w:bCs/>
                <w:sz w:val="20"/>
                <w:szCs w:val="20"/>
              </w:rPr>
              <w:t>.</w:t>
            </w:r>
            <w:proofErr w:type="gramEnd"/>
          </w:p>
        </w:tc>
        <w:tc>
          <w:tcPr>
            <w:tcW w:w="108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6B297A">
            <w:pPr>
              <w:jc w:val="center"/>
              <w:rPr>
                <w:rFonts w:ascii="Arial CE" w:hAnsi="Arial CE"/>
                <w:b/>
                <w:bCs/>
                <w:sz w:val="20"/>
                <w:szCs w:val="20"/>
              </w:rPr>
            </w:pPr>
            <w:r>
              <w:rPr>
                <w:rFonts w:ascii="Arial CE" w:hAnsi="Arial CE"/>
                <w:b/>
                <w:bCs/>
                <w:sz w:val="20"/>
                <w:szCs w:val="20"/>
              </w:rPr>
              <w:t>Evidenční číslo</w:t>
            </w:r>
          </w:p>
        </w:tc>
        <w:tc>
          <w:tcPr>
            <w:tcW w:w="3778"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6B297A">
            <w:pPr>
              <w:jc w:val="center"/>
              <w:rPr>
                <w:rFonts w:ascii="Arial CE" w:hAnsi="Arial CE"/>
                <w:b/>
                <w:bCs/>
                <w:sz w:val="20"/>
                <w:szCs w:val="20"/>
              </w:rPr>
            </w:pPr>
            <w:r>
              <w:rPr>
                <w:rFonts w:ascii="Arial CE" w:hAnsi="Arial CE"/>
                <w:b/>
                <w:bCs/>
                <w:sz w:val="20"/>
                <w:szCs w:val="20"/>
              </w:rPr>
              <w:t>Délka</w:t>
            </w:r>
          </w:p>
        </w:tc>
        <w:tc>
          <w:tcPr>
            <w:tcW w:w="72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116FAA">
            <w:pPr>
              <w:jc w:val="center"/>
              <w:rPr>
                <w:rFonts w:ascii="Arial CE" w:hAnsi="Arial CE"/>
                <w:b/>
                <w:bCs/>
                <w:sz w:val="20"/>
                <w:szCs w:val="20"/>
              </w:rPr>
            </w:pPr>
            <w:r>
              <w:rPr>
                <w:rFonts w:ascii="Arial CE" w:hAnsi="Arial CE"/>
                <w:b/>
                <w:bCs/>
                <w:sz w:val="20"/>
                <w:szCs w:val="20"/>
              </w:rPr>
              <w:t>Stavební stav</w:t>
            </w:r>
          </w:p>
        </w:tc>
        <w:tc>
          <w:tcPr>
            <w:tcW w:w="1250"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116FAA">
            <w:pPr>
              <w:jc w:val="center"/>
              <w:rPr>
                <w:rFonts w:ascii="Arial CE" w:hAnsi="Arial CE"/>
                <w:b/>
                <w:bCs/>
                <w:sz w:val="20"/>
                <w:szCs w:val="20"/>
              </w:rPr>
            </w:pPr>
            <w:r>
              <w:rPr>
                <w:rFonts w:ascii="Arial CE" w:hAnsi="Arial CE"/>
                <w:b/>
                <w:bCs/>
                <w:sz w:val="20"/>
                <w:szCs w:val="20"/>
              </w:rPr>
              <w:t xml:space="preserve">Cena </w:t>
            </w:r>
            <w:r w:rsidR="002F7717">
              <w:rPr>
                <w:rFonts w:ascii="Arial CE" w:hAnsi="Arial CE"/>
                <w:b/>
                <w:bCs/>
                <w:sz w:val="20"/>
                <w:szCs w:val="20"/>
              </w:rPr>
              <w:t xml:space="preserve">v Kč </w:t>
            </w:r>
            <w:r>
              <w:rPr>
                <w:rFonts w:ascii="Arial CE" w:hAnsi="Arial CE"/>
                <w:b/>
                <w:bCs/>
                <w:sz w:val="20"/>
                <w:szCs w:val="20"/>
              </w:rPr>
              <w:t>bez DPH</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hideMark/>
          </w:tcPr>
          <w:p w:rsidR="003F0D50" w:rsidRDefault="003F0D50" w:rsidP="003F0D50">
            <w:pPr>
              <w:jc w:val="center"/>
              <w:rPr>
                <w:rFonts w:ascii="Arial CE" w:hAnsi="Arial CE" w:cs="Arial CE"/>
                <w:sz w:val="20"/>
                <w:szCs w:val="20"/>
              </w:rPr>
            </w:pPr>
            <w:r>
              <w:rPr>
                <w:rFonts w:ascii="Arial CE" w:hAnsi="Arial CE" w:cs="Arial CE"/>
                <w:sz w:val="20"/>
                <w:szCs w:val="20"/>
              </w:rPr>
              <w:t>1</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373-009</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Žďárnou před Suchým</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3,20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w:t>
            </w:r>
          </w:p>
        </w:tc>
        <w:tc>
          <w:tcPr>
            <w:tcW w:w="1250"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92"/>
        </w:trPr>
        <w:tc>
          <w:tcPr>
            <w:tcW w:w="485" w:type="dxa"/>
            <w:gridSpan w:val="3"/>
            <w:tcBorders>
              <w:top w:val="nil"/>
              <w:left w:val="single" w:sz="8" w:space="0" w:color="auto"/>
              <w:bottom w:val="single" w:sz="4" w:space="0" w:color="auto"/>
              <w:right w:val="single" w:sz="4" w:space="0" w:color="auto"/>
            </w:tcBorders>
            <w:shd w:val="clear" w:color="auto" w:fill="auto"/>
            <w:noWrap/>
            <w:vAlign w:val="bottom"/>
            <w:hideMark/>
          </w:tcPr>
          <w:p w:rsidR="003F0D50" w:rsidRDefault="003F0D50" w:rsidP="003F0D50">
            <w:pPr>
              <w:jc w:val="center"/>
              <w:rPr>
                <w:rFonts w:ascii="Arial CE" w:hAnsi="Arial CE" w:cs="Arial CE"/>
                <w:sz w:val="20"/>
                <w:szCs w:val="20"/>
              </w:rPr>
            </w:pPr>
            <w:r>
              <w:rPr>
                <w:rFonts w:ascii="Arial CE" w:hAnsi="Arial CE" w:cs="Arial CE"/>
                <w:sz w:val="20"/>
                <w:szCs w:val="20"/>
              </w:rPr>
              <w:t>2</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373-013</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Lopač</w:t>
            </w:r>
            <w:proofErr w:type="spellEnd"/>
            <w:r>
              <w:rPr>
                <w:rFonts w:ascii="Arial" w:hAnsi="Arial" w:cs="Arial"/>
                <w:sz w:val="20"/>
                <w:szCs w:val="20"/>
              </w:rPr>
              <w:t xml:space="preserve"> v Ostrově u Macochy</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3,00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V</w:t>
            </w:r>
          </w:p>
        </w:tc>
        <w:tc>
          <w:tcPr>
            <w:tcW w:w="1250"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bottom"/>
            <w:hideMark/>
          </w:tcPr>
          <w:p w:rsidR="003F0D50" w:rsidRDefault="003F0D50" w:rsidP="003F0D50">
            <w:pPr>
              <w:jc w:val="center"/>
              <w:rPr>
                <w:rFonts w:ascii="Arial CE" w:hAnsi="Arial CE" w:cs="Arial CE"/>
                <w:sz w:val="20"/>
                <w:szCs w:val="20"/>
              </w:rPr>
            </w:pPr>
            <w:r>
              <w:rPr>
                <w:rFonts w:ascii="Arial CE" w:hAnsi="Arial CE" w:cs="Arial CE"/>
                <w:sz w:val="20"/>
                <w:szCs w:val="20"/>
              </w:rPr>
              <w:t>3</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374-017</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Nešůrku</w:t>
            </w:r>
            <w:proofErr w:type="spellEnd"/>
            <w:r>
              <w:rPr>
                <w:rFonts w:ascii="Arial" w:hAnsi="Arial" w:cs="Arial"/>
                <w:sz w:val="20"/>
                <w:szCs w:val="20"/>
              </w:rPr>
              <w:t xml:space="preserve"> v Doubravicích nad Svitavou</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3,33</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IV</w:t>
            </w:r>
          </w:p>
        </w:tc>
        <w:tc>
          <w:tcPr>
            <w:tcW w:w="1250"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bottom"/>
            <w:hideMark/>
          </w:tcPr>
          <w:p w:rsidR="003F0D50" w:rsidRDefault="003F0D50" w:rsidP="003F0D50">
            <w:pPr>
              <w:jc w:val="center"/>
              <w:rPr>
                <w:rFonts w:ascii="Arial CE" w:hAnsi="Arial CE" w:cs="Arial CE"/>
                <w:sz w:val="20"/>
                <w:szCs w:val="20"/>
              </w:rPr>
            </w:pPr>
            <w:r>
              <w:rPr>
                <w:rFonts w:ascii="Arial CE" w:hAnsi="Arial CE" w:cs="Arial CE"/>
                <w:sz w:val="20"/>
                <w:szCs w:val="20"/>
              </w:rPr>
              <w:t>4</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374-018</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Holešinku</w:t>
            </w:r>
            <w:proofErr w:type="spellEnd"/>
            <w:r>
              <w:rPr>
                <w:rFonts w:ascii="Arial" w:hAnsi="Arial" w:cs="Arial"/>
                <w:sz w:val="20"/>
                <w:szCs w:val="20"/>
              </w:rPr>
              <w:t xml:space="preserve"> za Doubravicemi nad Svitavou</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6,40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V</w:t>
            </w:r>
          </w:p>
        </w:tc>
        <w:tc>
          <w:tcPr>
            <w:tcW w:w="1250"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bottom"/>
            <w:hideMark/>
          </w:tcPr>
          <w:p w:rsidR="003F0D50" w:rsidRDefault="003F0D50" w:rsidP="003F0D50">
            <w:pPr>
              <w:jc w:val="center"/>
              <w:rPr>
                <w:rFonts w:ascii="Arial CE" w:hAnsi="Arial CE" w:cs="Arial CE"/>
                <w:sz w:val="20"/>
                <w:szCs w:val="20"/>
              </w:rPr>
            </w:pPr>
            <w:r>
              <w:rPr>
                <w:rFonts w:ascii="Arial CE" w:hAnsi="Arial CE" w:cs="Arial CE"/>
                <w:sz w:val="20"/>
                <w:szCs w:val="20"/>
              </w:rPr>
              <w:t>5</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374-018b</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Spešovský</w:t>
            </w:r>
            <w:proofErr w:type="spellEnd"/>
            <w:r>
              <w:rPr>
                <w:rFonts w:ascii="Arial" w:hAnsi="Arial" w:cs="Arial"/>
                <w:sz w:val="20"/>
                <w:szCs w:val="20"/>
              </w:rPr>
              <w:t xml:space="preserve"> potok před Ráječkem</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6,00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w:t>
            </w:r>
          </w:p>
        </w:tc>
        <w:tc>
          <w:tcPr>
            <w:tcW w:w="1250"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bottom"/>
            <w:hideMark/>
          </w:tcPr>
          <w:p w:rsidR="003F0D50" w:rsidRDefault="003F0D50" w:rsidP="003F0D50">
            <w:pPr>
              <w:jc w:val="center"/>
              <w:rPr>
                <w:rFonts w:ascii="Arial CE" w:hAnsi="Arial CE" w:cs="Arial CE"/>
                <w:sz w:val="20"/>
                <w:szCs w:val="20"/>
              </w:rPr>
            </w:pPr>
            <w:r>
              <w:rPr>
                <w:rFonts w:ascii="Arial CE" w:hAnsi="Arial CE" w:cs="Arial CE"/>
                <w:sz w:val="20"/>
                <w:szCs w:val="20"/>
              </w:rPr>
              <w:t>6</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374-018c</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podchod pro pěší u Ráječka</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4,54</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w:t>
            </w:r>
          </w:p>
        </w:tc>
        <w:tc>
          <w:tcPr>
            <w:tcW w:w="1250"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bottom"/>
            <w:hideMark/>
          </w:tcPr>
          <w:p w:rsidR="003F0D50" w:rsidRDefault="003F0D50" w:rsidP="003F0D50">
            <w:pPr>
              <w:jc w:val="center"/>
              <w:rPr>
                <w:rFonts w:ascii="Arial CE" w:hAnsi="Arial CE" w:cs="Arial CE"/>
                <w:sz w:val="20"/>
                <w:szCs w:val="20"/>
              </w:rPr>
            </w:pPr>
            <w:r>
              <w:rPr>
                <w:rFonts w:ascii="Arial CE" w:hAnsi="Arial CE" w:cs="Arial CE"/>
                <w:sz w:val="20"/>
                <w:szCs w:val="20"/>
              </w:rPr>
              <w:t>7</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374-018d</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Svitavu u Ráječka</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27,72</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w:t>
            </w:r>
          </w:p>
        </w:tc>
        <w:tc>
          <w:tcPr>
            <w:tcW w:w="1250"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bottom"/>
            <w:hideMark/>
          </w:tcPr>
          <w:p w:rsidR="003F0D50" w:rsidRDefault="003F0D50" w:rsidP="003F0D50">
            <w:pPr>
              <w:jc w:val="center"/>
              <w:rPr>
                <w:rFonts w:ascii="Arial CE" w:hAnsi="Arial CE" w:cs="Arial CE"/>
                <w:sz w:val="20"/>
                <w:szCs w:val="20"/>
              </w:rPr>
            </w:pPr>
            <w:r>
              <w:rPr>
                <w:rFonts w:ascii="Arial CE" w:hAnsi="Arial CE" w:cs="Arial CE"/>
                <w:sz w:val="20"/>
                <w:szCs w:val="20"/>
              </w:rPr>
              <w:t>8</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374-018e</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Chrábek</w:t>
            </w:r>
            <w:proofErr w:type="spellEnd"/>
            <w:r>
              <w:rPr>
                <w:rFonts w:ascii="Arial" w:hAnsi="Arial" w:cs="Arial"/>
                <w:sz w:val="20"/>
                <w:szCs w:val="20"/>
              </w:rPr>
              <w:t xml:space="preserve"> u Ráječka</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6,20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w:t>
            </w:r>
          </w:p>
        </w:tc>
        <w:tc>
          <w:tcPr>
            <w:tcW w:w="1250"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90"/>
        </w:trPr>
        <w:tc>
          <w:tcPr>
            <w:tcW w:w="485" w:type="dxa"/>
            <w:gridSpan w:val="3"/>
            <w:tcBorders>
              <w:top w:val="nil"/>
              <w:left w:val="single" w:sz="8" w:space="0" w:color="auto"/>
              <w:bottom w:val="single" w:sz="4" w:space="0" w:color="auto"/>
              <w:right w:val="single" w:sz="4" w:space="0" w:color="auto"/>
            </w:tcBorders>
            <w:shd w:val="clear" w:color="auto" w:fill="auto"/>
            <w:noWrap/>
            <w:vAlign w:val="bottom"/>
            <w:hideMark/>
          </w:tcPr>
          <w:p w:rsidR="003F0D50" w:rsidRDefault="003F0D50" w:rsidP="003F0D50">
            <w:pPr>
              <w:jc w:val="center"/>
              <w:rPr>
                <w:rFonts w:ascii="Arial CE" w:hAnsi="Arial CE" w:cs="Arial CE"/>
                <w:sz w:val="20"/>
                <w:szCs w:val="20"/>
              </w:rPr>
            </w:pPr>
            <w:r>
              <w:rPr>
                <w:rFonts w:ascii="Arial CE" w:hAnsi="Arial CE" w:cs="Arial CE"/>
                <w:sz w:val="20"/>
                <w:szCs w:val="20"/>
              </w:rPr>
              <w:t>9</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374-020.1</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místní potok v Blansku západní</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3,30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II</w:t>
            </w:r>
          </w:p>
        </w:tc>
        <w:tc>
          <w:tcPr>
            <w:tcW w:w="1250"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309"/>
        </w:trPr>
        <w:tc>
          <w:tcPr>
            <w:tcW w:w="485" w:type="dxa"/>
            <w:gridSpan w:val="3"/>
            <w:tcBorders>
              <w:top w:val="nil"/>
              <w:left w:val="single" w:sz="8" w:space="0" w:color="auto"/>
              <w:bottom w:val="single" w:sz="4" w:space="0" w:color="auto"/>
              <w:right w:val="single" w:sz="4" w:space="0" w:color="auto"/>
            </w:tcBorders>
            <w:shd w:val="clear" w:color="auto" w:fill="auto"/>
            <w:noWrap/>
            <w:vAlign w:val="bottom"/>
            <w:hideMark/>
          </w:tcPr>
          <w:p w:rsidR="003F0D50" w:rsidRDefault="003F0D50" w:rsidP="003F0D50">
            <w:pPr>
              <w:jc w:val="center"/>
              <w:rPr>
                <w:rFonts w:ascii="Arial CE" w:hAnsi="Arial CE" w:cs="Arial CE"/>
                <w:sz w:val="20"/>
                <w:szCs w:val="20"/>
              </w:rPr>
            </w:pPr>
            <w:r>
              <w:rPr>
                <w:rFonts w:ascii="Arial CE" w:hAnsi="Arial CE" w:cs="Arial CE"/>
                <w:sz w:val="20"/>
                <w:szCs w:val="20"/>
              </w:rPr>
              <w:t>10</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374-020.2</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místní potok v Blansku východní</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3,30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II</w:t>
            </w:r>
          </w:p>
        </w:tc>
        <w:tc>
          <w:tcPr>
            <w:tcW w:w="1250"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6"/>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11</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374-037</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Svitavu za Adamovem</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23,40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III</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hideMark/>
          </w:tcPr>
          <w:p w:rsidR="003F0D50" w:rsidRDefault="003F0D50" w:rsidP="003F0D50">
            <w:pPr>
              <w:jc w:val="center"/>
              <w:rPr>
                <w:rFonts w:ascii="Arial CE" w:hAnsi="Arial CE" w:cs="Arial CE"/>
                <w:sz w:val="20"/>
                <w:szCs w:val="20"/>
              </w:rPr>
            </w:pPr>
            <w:r>
              <w:rPr>
                <w:rFonts w:ascii="Arial CE" w:hAnsi="Arial CE" w:cs="Arial CE"/>
                <w:sz w:val="20"/>
                <w:szCs w:val="20"/>
              </w:rPr>
              <w:t>12</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374-042</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Svitavu před Bílovicemi nad Svitavou</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25,90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IV</w:t>
            </w:r>
          </w:p>
        </w:tc>
        <w:tc>
          <w:tcPr>
            <w:tcW w:w="1250"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13</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377-006</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Býkovku</w:t>
            </w:r>
            <w:proofErr w:type="spellEnd"/>
            <w:r>
              <w:rPr>
                <w:rFonts w:ascii="Arial" w:hAnsi="Arial" w:cs="Arial"/>
                <w:sz w:val="20"/>
                <w:szCs w:val="20"/>
              </w:rPr>
              <w:t xml:space="preserve"> u Bořitova</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15,57</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II</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14</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377-007</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Býkovku</w:t>
            </w:r>
            <w:proofErr w:type="spellEnd"/>
            <w:r>
              <w:rPr>
                <w:rFonts w:ascii="Arial" w:hAnsi="Arial" w:cs="Arial"/>
                <w:sz w:val="20"/>
                <w:szCs w:val="20"/>
              </w:rPr>
              <w:t xml:space="preserve"> v Rájci - Jestřebí</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15,38</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II</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15</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377-009</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Svitavu v Rájci - Jestřebí</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57,60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2</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V</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16</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379-020</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Šebrovku</w:t>
            </w:r>
            <w:proofErr w:type="spellEnd"/>
            <w:r>
              <w:rPr>
                <w:rFonts w:ascii="Arial" w:hAnsi="Arial" w:cs="Arial"/>
                <w:sz w:val="20"/>
                <w:szCs w:val="20"/>
              </w:rPr>
              <w:t xml:space="preserve"> za Kateřinou</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6,40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IV</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17</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379-023</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Svitavu za Kateřinou</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25,00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II</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18</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379-024</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trať ČD Brno - Česká Třebová před Blanskem</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36,10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V</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19</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379-025</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trať ČD Brno - Česká Třebová před Blanskem</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7,62</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IV</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20</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379-029</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Punkvu v Blansku</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84,70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IV</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21</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379-036</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Floriánek v Lažánkách</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2,80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22</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37432-1</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Holešínku</w:t>
            </w:r>
            <w:proofErr w:type="spellEnd"/>
            <w:r>
              <w:rPr>
                <w:rFonts w:ascii="Arial" w:hAnsi="Arial" w:cs="Arial"/>
                <w:sz w:val="20"/>
                <w:szCs w:val="20"/>
              </w:rPr>
              <w:t xml:space="preserve"> za Doubravicí</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3,10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IV</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23</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37436-1</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Chrábek</w:t>
            </w:r>
            <w:proofErr w:type="spellEnd"/>
            <w:r>
              <w:rPr>
                <w:rFonts w:ascii="Arial" w:hAnsi="Arial" w:cs="Arial"/>
                <w:sz w:val="20"/>
                <w:szCs w:val="20"/>
              </w:rPr>
              <w:t xml:space="preserve"> v Ráječku</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6,20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V</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24</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37445-6</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Křtinský potok za Josefovem</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4,00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V</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25</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37445-7</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Křtinský potok za Josefovem</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5,00</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IV</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116FAA">
        <w:tblPrEx>
          <w:tblLook w:val="04A0" w:firstRow="1" w:lastRow="0" w:firstColumn="1" w:lastColumn="0" w:noHBand="0" w:noVBand="1"/>
        </w:tblPrEx>
        <w:trPr>
          <w:trHeight w:val="282"/>
        </w:trPr>
        <w:tc>
          <w:tcPr>
            <w:tcW w:w="485" w:type="dxa"/>
            <w:gridSpan w:val="3"/>
            <w:tcBorders>
              <w:top w:val="nil"/>
              <w:left w:val="single" w:sz="8" w:space="0" w:color="auto"/>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26</w:t>
            </w:r>
          </w:p>
        </w:tc>
        <w:tc>
          <w:tcPr>
            <w:tcW w:w="1085"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CE" w:hAnsi="Arial CE" w:cs="Arial CE"/>
                <w:sz w:val="20"/>
                <w:szCs w:val="20"/>
              </w:rPr>
            </w:pPr>
            <w:r>
              <w:rPr>
                <w:rFonts w:ascii="Arial CE" w:hAnsi="Arial CE" w:cs="Arial CE"/>
                <w:sz w:val="20"/>
                <w:szCs w:val="20"/>
              </w:rPr>
              <w:t>37722-1</w:t>
            </w:r>
          </w:p>
        </w:tc>
        <w:tc>
          <w:tcPr>
            <w:tcW w:w="3778" w:type="dxa"/>
            <w:gridSpan w:val="3"/>
            <w:tcBorders>
              <w:top w:val="nil"/>
              <w:left w:val="nil"/>
              <w:bottom w:val="single" w:sz="4" w:space="0" w:color="auto"/>
              <w:right w:val="single" w:sz="4" w:space="0" w:color="auto"/>
            </w:tcBorders>
            <w:shd w:val="clear" w:color="auto" w:fill="auto"/>
            <w:vAlign w:val="bottom"/>
          </w:tcPr>
          <w:p w:rsidR="003F0D50" w:rsidRDefault="003F0D50" w:rsidP="003F0D50">
            <w:pPr>
              <w:rPr>
                <w:rFonts w:ascii="Arial" w:hAnsi="Arial" w:cs="Arial"/>
                <w:sz w:val="20"/>
                <w:szCs w:val="20"/>
              </w:rPr>
            </w:pPr>
            <w:r>
              <w:rPr>
                <w:rFonts w:ascii="Arial" w:hAnsi="Arial" w:cs="Arial"/>
                <w:sz w:val="20"/>
                <w:szCs w:val="20"/>
              </w:rPr>
              <w:t>Most přes Lysický potok v Bořitově</w:t>
            </w:r>
          </w:p>
        </w:tc>
        <w:tc>
          <w:tcPr>
            <w:tcW w:w="851" w:type="dxa"/>
            <w:tcBorders>
              <w:top w:val="nil"/>
              <w:left w:val="nil"/>
              <w:bottom w:val="single" w:sz="4" w:space="0" w:color="auto"/>
              <w:right w:val="single" w:sz="4" w:space="0" w:color="auto"/>
            </w:tcBorders>
            <w:shd w:val="clear" w:color="auto" w:fill="auto"/>
            <w:noWrap/>
            <w:vAlign w:val="bottom"/>
          </w:tcPr>
          <w:p w:rsidR="003F0D50" w:rsidRDefault="003F0D50" w:rsidP="003F0D50">
            <w:pPr>
              <w:jc w:val="center"/>
              <w:rPr>
                <w:rFonts w:ascii="Arial" w:hAnsi="Arial" w:cs="Arial"/>
                <w:sz w:val="20"/>
                <w:szCs w:val="20"/>
              </w:rPr>
            </w:pPr>
            <w:r>
              <w:rPr>
                <w:rFonts w:ascii="Arial" w:hAnsi="Arial" w:cs="Arial"/>
                <w:sz w:val="20"/>
                <w:szCs w:val="20"/>
              </w:rPr>
              <w:t>7,63</w:t>
            </w:r>
          </w:p>
        </w:tc>
        <w:tc>
          <w:tcPr>
            <w:tcW w:w="725" w:type="dxa"/>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bottom"/>
          </w:tcPr>
          <w:p w:rsidR="003F0D50" w:rsidRDefault="003F0D50" w:rsidP="003F0D50">
            <w:pPr>
              <w:jc w:val="center"/>
              <w:rPr>
                <w:rFonts w:ascii="Arial" w:hAnsi="Arial" w:cs="Arial"/>
                <w:sz w:val="20"/>
                <w:szCs w:val="20"/>
              </w:rPr>
            </w:pPr>
            <w:r>
              <w:rPr>
                <w:rFonts w:ascii="Arial" w:hAnsi="Arial" w:cs="Arial"/>
                <w:sz w:val="20"/>
                <w:szCs w:val="20"/>
              </w:rPr>
              <w:t>I</w:t>
            </w:r>
          </w:p>
        </w:tc>
        <w:tc>
          <w:tcPr>
            <w:tcW w:w="1250" w:type="dxa"/>
            <w:gridSpan w:val="2"/>
            <w:tcBorders>
              <w:top w:val="nil"/>
              <w:left w:val="nil"/>
              <w:bottom w:val="single" w:sz="4" w:space="0" w:color="auto"/>
              <w:right w:val="single" w:sz="8" w:space="0" w:color="auto"/>
            </w:tcBorders>
            <w:shd w:val="clear" w:color="auto" w:fill="auto"/>
            <w:noWrap/>
            <w:vAlign w:val="center"/>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EC1D30" w:rsidTr="00EC1D30">
        <w:tblPrEx>
          <w:tblLook w:val="04A0" w:firstRow="1" w:lastRow="0" w:firstColumn="1" w:lastColumn="0" w:noHBand="0" w:noVBand="1"/>
        </w:tblPrEx>
        <w:trPr>
          <w:trHeight w:val="428"/>
        </w:trPr>
        <w:tc>
          <w:tcPr>
            <w:tcW w:w="7964" w:type="dxa"/>
            <w:gridSpan w:val="11"/>
            <w:tcBorders>
              <w:top w:val="nil"/>
              <w:left w:val="single" w:sz="8"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250" w:type="dxa"/>
            <w:gridSpan w:val="2"/>
            <w:tcBorders>
              <w:top w:val="nil"/>
              <w:left w:val="nil"/>
              <w:bottom w:val="single" w:sz="4" w:space="0" w:color="auto"/>
              <w:right w:val="single" w:sz="8"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1405ED">
        <w:tblPrEx>
          <w:tblLook w:val="04A0" w:firstRow="1" w:lastRow="0" w:firstColumn="1" w:lastColumn="0" w:noHBand="0" w:noVBand="1"/>
        </w:tblPrEx>
        <w:trPr>
          <w:trHeight w:val="419"/>
        </w:trPr>
        <w:tc>
          <w:tcPr>
            <w:tcW w:w="7964" w:type="dxa"/>
            <w:gridSpan w:val="11"/>
            <w:tcBorders>
              <w:top w:val="nil"/>
              <w:left w:val="single" w:sz="8" w:space="0" w:color="auto"/>
              <w:bottom w:val="single" w:sz="4" w:space="0" w:color="auto"/>
              <w:right w:val="single" w:sz="4" w:space="0" w:color="auto"/>
            </w:tcBorders>
            <w:shd w:val="clear" w:color="auto" w:fill="auto"/>
            <w:noWrap/>
            <w:vAlign w:val="center"/>
          </w:tcPr>
          <w:p w:rsidR="005430C8" w:rsidRPr="003F0D50"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tc>
        <w:tc>
          <w:tcPr>
            <w:tcW w:w="125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tbl>
      <w:tblPr>
        <w:tblW w:w="9923"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976"/>
        <w:gridCol w:w="301"/>
        <w:gridCol w:w="448"/>
        <w:gridCol w:w="385"/>
        <w:gridCol w:w="283"/>
        <w:gridCol w:w="657"/>
        <w:gridCol w:w="992"/>
        <w:gridCol w:w="208"/>
        <w:gridCol w:w="832"/>
        <w:gridCol w:w="284"/>
        <w:gridCol w:w="1138"/>
      </w:tblGrid>
      <w:tr w:rsidR="00A975B8" w:rsidRPr="00D8626A" w:rsidTr="003C4E3B">
        <w:trPr>
          <w:gridAfter w:val="6"/>
          <w:wAfter w:w="4111"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3C4E3B">
        <w:trPr>
          <w:gridAfter w:val="1"/>
          <w:wAfter w:w="1138"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4"/>
            <w:tcBorders>
              <w:top w:val="nil"/>
              <w:left w:val="nil"/>
              <w:bottom w:val="nil"/>
              <w:right w:val="nil"/>
            </w:tcBorders>
            <w:noWrap/>
            <w:vAlign w:val="bottom"/>
          </w:tcPr>
          <w:p w:rsidR="00A975B8" w:rsidRPr="00A975B8" w:rsidRDefault="00A975B8" w:rsidP="003A0242">
            <w:pPr>
              <w:rPr>
                <w:b/>
                <w:sz w:val="22"/>
                <w:szCs w:val="22"/>
                <w:u w:val="single"/>
              </w:rPr>
            </w:pPr>
            <w:proofErr w:type="spellStart"/>
            <w:r>
              <w:rPr>
                <w:b/>
                <w:sz w:val="22"/>
                <w:szCs w:val="22"/>
                <w:u w:val="single"/>
              </w:rPr>
              <w:t>C</w:t>
            </w:r>
            <w:r w:rsidRPr="00A975B8">
              <w:rPr>
                <w:b/>
                <w:sz w:val="22"/>
                <w:szCs w:val="22"/>
                <w:u w:val="single"/>
              </w:rPr>
              <w:t>estmistrovství</w:t>
            </w:r>
            <w:proofErr w:type="spellEnd"/>
            <w:r w:rsidR="003C4E3B">
              <w:rPr>
                <w:b/>
                <w:sz w:val="22"/>
                <w:szCs w:val="22"/>
                <w:u w:val="single"/>
              </w:rPr>
              <w:t xml:space="preserve"> </w:t>
            </w:r>
            <w:r w:rsidR="003A0242">
              <w:rPr>
                <w:b/>
                <w:sz w:val="22"/>
                <w:szCs w:val="22"/>
                <w:u w:val="single"/>
              </w:rPr>
              <w:t>Boskovice</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3C4E3B">
        <w:trPr>
          <w:gridAfter w:val="1"/>
          <w:wAfter w:w="1138"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4"/>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3C4E3B">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proofErr w:type="spellStart"/>
            <w:proofErr w:type="gramStart"/>
            <w:r>
              <w:rPr>
                <w:rFonts w:ascii="Arial CE" w:hAnsi="Arial CE"/>
                <w:b/>
                <w:bCs/>
                <w:sz w:val="20"/>
                <w:szCs w:val="20"/>
              </w:rPr>
              <w:t>p.č</w:t>
            </w:r>
            <w:proofErr w:type="spellEnd"/>
            <w:r>
              <w:rPr>
                <w:rFonts w:ascii="Arial CE" w:hAnsi="Arial CE"/>
                <w:b/>
                <w:bCs/>
                <w:sz w:val="20"/>
                <w:szCs w:val="20"/>
              </w:rPr>
              <w:t>.</w:t>
            </w:r>
            <w:proofErr w:type="gramEnd"/>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Evidenční číslo</w:t>
            </w:r>
          </w:p>
        </w:tc>
        <w:tc>
          <w:tcPr>
            <w:tcW w:w="3828"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Délka</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Stavební stav</w:t>
            </w:r>
          </w:p>
        </w:tc>
        <w:tc>
          <w:tcPr>
            <w:tcW w:w="1422"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116FAA">
            <w:pPr>
              <w:jc w:val="center"/>
              <w:rPr>
                <w:rFonts w:ascii="Arial CE" w:hAnsi="Arial CE"/>
                <w:b/>
                <w:bCs/>
                <w:sz w:val="20"/>
                <w:szCs w:val="20"/>
              </w:rPr>
            </w:pPr>
            <w:r>
              <w:rPr>
                <w:rFonts w:ascii="Arial CE" w:hAnsi="Arial CE"/>
                <w:b/>
                <w:bCs/>
                <w:sz w:val="20"/>
                <w:szCs w:val="20"/>
              </w:rPr>
              <w:t xml:space="preserve">Cena </w:t>
            </w:r>
            <w:r w:rsidR="002F7717">
              <w:rPr>
                <w:rFonts w:ascii="Arial CE" w:hAnsi="Arial CE"/>
                <w:b/>
                <w:bCs/>
                <w:sz w:val="20"/>
                <w:szCs w:val="20"/>
              </w:rPr>
              <w:t xml:space="preserve">v Kč </w:t>
            </w:r>
            <w:r>
              <w:rPr>
                <w:rFonts w:ascii="Arial CE" w:hAnsi="Arial CE"/>
                <w:b/>
                <w:bCs/>
                <w:sz w:val="20"/>
                <w:szCs w:val="20"/>
              </w:rPr>
              <w:t>bez DPH</w:t>
            </w:r>
          </w:p>
        </w:tc>
      </w:tr>
      <w:tr w:rsidR="003F0D50" w:rsidTr="003F0D50">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150-059</w:t>
            </w:r>
          </w:p>
        </w:tc>
        <w:tc>
          <w:tcPr>
            <w:tcW w:w="3828" w:type="dxa"/>
            <w:gridSpan w:val="5"/>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rPr>
                <w:rFonts w:ascii="Arial" w:hAnsi="Arial" w:cs="Arial"/>
                <w:sz w:val="20"/>
                <w:szCs w:val="20"/>
              </w:rPr>
            </w:pPr>
            <w:r w:rsidRPr="003F0D50">
              <w:rPr>
                <w:rFonts w:ascii="Arial" w:hAnsi="Arial" w:cs="Arial"/>
                <w:sz w:val="20"/>
                <w:szCs w:val="20"/>
              </w:rPr>
              <w:t>Most přes trať ČD Brno-Česká Třebová v km 195.636</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21,40</w:t>
            </w:r>
          </w:p>
        </w:tc>
        <w:tc>
          <w:tcPr>
            <w:tcW w:w="992" w:type="dxa"/>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3F0D50">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372-004</w:t>
            </w:r>
          </w:p>
        </w:tc>
        <w:tc>
          <w:tcPr>
            <w:tcW w:w="3828" w:type="dxa"/>
            <w:gridSpan w:val="5"/>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rPr>
                <w:rFonts w:ascii="Arial" w:hAnsi="Arial" w:cs="Arial"/>
                <w:sz w:val="20"/>
                <w:szCs w:val="20"/>
              </w:rPr>
            </w:pPr>
            <w:r w:rsidRPr="003F0D50">
              <w:rPr>
                <w:rFonts w:ascii="Arial" w:hAnsi="Arial" w:cs="Arial"/>
                <w:sz w:val="20"/>
                <w:szCs w:val="20"/>
              </w:rPr>
              <w:t xml:space="preserve">Most přes dál. </w:t>
            </w:r>
            <w:proofErr w:type="gramStart"/>
            <w:r w:rsidRPr="003F0D50">
              <w:rPr>
                <w:rFonts w:ascii="Arial" w:hAnsi="Arial" w:cs="Arial"/>
                <w:sz w:val="20"/>
                <w:szCs w:val="20"/>
              </w:rPr>
              <w:t>těleso</w:t>
            </w:r>
            <w:proofErr w:type="gramEnd"/>
            <w:r w:rsidRPr="003F0D50">
              <w:rPr>
                <w:rFonts w:ascii="Arial" w:hAnsi="Arial" w:cs="Arial"/>
                <w:sz w:val="20"/>
                <w:szCs w:val="20"/>
              </w:rPr>
              <w:t xml:space="preserve"> </w:t>
            </w:r>
            <w:proofErr w:type="spellStart"/>
            <w:r w:rsidRPr="003F0D50">
              <w:rPr>
                <w:rFonts w:ascii="Arial" w:hAnsi="Arial" w:cs="Arial"/>
                <w:sz w:val="20"/>
                <w:szCs w:val="20"/>
              </w:rPr>
              <w:t>ned</w:t>
            </w:r>
            <w:proofErr w:type="spellEnd"/>
            <w:r w:rsidRPr="003F0D50">
              <w:rPr>
                <w:rFonts w:ascii="Arial" w:hAnsi="Arial" w:cs="Arial"/>
                <w:sz w:val="20"/>
                <w:szCs w:val="20"/>
              </w:rPr>
              <w:t>. dálnice před Vel. Opatovicemi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66,55</w:t>
            </w:r>
          </w:p>
        </w:tc>
        <w:tc>
          <w:tcPr>
            <w:tcW w:w="992" w:type="dxa"/>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4</w:t>
            </w:r>
          </w:p>
        </w:tc>
        <w:tc>
          <w:tcPr>
            <w:tcW w:w="1040" w:type="dxa"/>
            <w:gridSpan w:val="2"/>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3F0D50">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372-005</w:t>
            </w:r>
          </w:p>
        </w:tc>
        <w:tc>
          <w:tcPr>
            <w:tcW w:w="3828" w:type="dxa"/>
            <w:gridSpan w:val="5"/>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rPr>
                <w:rFonts w:ascii="Arial" w:hAnsi="Arial" w:cs="Arial"/>
                <w:sz w:val="20"/>
                <w:szCs w:val="20"/>
              </w:rPr>
            </w:pPr>
            <w:r w:rsidRPr="003F0D50">
              <w:rPr>
                <w:rFonts w:ascii="Arial" w:hAnsi="Arial" w:cs="Arial"/>
                <w:sz w:val="20"/>
                <w:szCs w:val="20"/>
              </w:rPr>
              <w:t>Most přes Jevíčku za Velkými Opatovicemi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2,60</w:t>
            </w:r>
          </w:p>
        </w:tc>
        <w:tc>
          <w:tcPr>
            <w:tcW w:w="992" w:type="dxa"/>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3F0D50">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372-007</w:t>
            </w:r>
          </w:p>
        </w:tc>
        <w:tc>
          <w:tcPr>
            <w:tcW w:w="3828" w:type="dxa"/>
            <w:gridSpan w:val="5"/>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rPr>
                <w:rFonts w:ascii="Arial" w:hAnsi="Arial" w:cs="Arial"/>
                <w:sz w:val="20"/>
                <w:szCs w:val="20"/>
              </w:rPr>
            </w:pPr>
            <w:r w:rsidRPr="003F0D50">
              <w:rPr>
                <w:rFonts w:ascii="Arial" w:hAnsi="Arial" w:cs="Arial"/>
                <w:sz w:val="20"/>
                <w:szCs w:val="20"/>
              </w:rPr>
              <w:t>Most přes Jevíčku v Malé Roudce</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6,10</w:t>
            </w:r>
          </w:p>
        </w:tc>
        <w:tc>
          <w:tcPr>
            <w:tcW w:w="992" w:type="dxa"/>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3F0D50">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374-005</w:t>
            </w:r>
          </w:p>
        </w:tc>
        <w:tc>
          <w:tcPr>
            <w:tcW w:w="3828" w:type="dxa"/>
            <w:gridSpan w:val="5"/>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rPr>
                <w:rFonts w:ascii="Arial" w:hAnsi="Arial" w:cs="Arial"/>
                <w:sz w:val="20"/>
                <w:szCs w:val="20"/>
              </w:rPr>
            </w:pPr>
            <w:r w:rsidRPr="003F0D50">
              <w:rPr>
                <w:rFonts w:ascii="Arial" w:hAnsi="Arial" w:cs="Arial"/>
                <w:sz w:val="20"/>
                <w:szCs w:val="20"/>
              </w:rPr>
              <w:t>Most přes Lipinu za Uhřicemi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2,65</w:t>
            </w:r>
          </w:p>
        </w:tc>
        <w:tc>
          <w:tcPr>
            <w:tcW w:w="992" w:type="dxa"/>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3F0D50">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0435-2</w:t>
            </w:r>
          </w:p>
        </w:tc>
        <w:tc>
          <w:tcPr>
            <w:tcW w:w="3828" w:type="dxa"/>
            <w:gridSpan w:val="5"/>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rPr>
                <w:rFonts w:ascii="Arial" w:hAnsi="Arial" w:cs="Arial"/>
                <w:sz w:val="20"/>
                <w:szCs w:val="20"/>
              </w:rPr>
            </w:pPr>
            <w:r w:rsidRPr="003F0D50">
              <w:rPr>
                <w:rFonts w:ascii="Arial" w:hAnsi="Arial" w:cs="Arial"/>
                <w:sz w:val="20"/>
                <w:szCs w:val="20"/>
              </w:rPr>
              <w:t>Most přes Svitavu ve Skrchově</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8,23</w:t>
            </w:r>
          </w:p>
        </w:tc>
        <w:tc>
          <w:tcPr>
            <w:tcW w:w="992" w:type="dxa"/>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3F0D50">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0435-3</w:t>
            </w:r>
          </w:p>
        </w:tc>
        <w:tc>
          <w:tcPr>
            <w:tcW w:w="3828" w:type="dxa"/>
            <w:gridSpan w:val="5"/>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rPr>
                <w:rFonts w:ascii="Arial" w:hAnsi="Arial" w:cs="Arial"/>
                <w:sz w:val="20"/>
                <w:szCs w:val="20"/>
              </w:rPr>
            </w:pPr>
            <w:r w:rsidRPr="003F0D50">
              <w:rPr>
                <w:rFonts w:ascii="Arial" w:hAnsi="Arial" w:cs="Arial"/>
                <w:sz w:val="20"/>
                <w:szCs w:val="20"/>
              </w:rPr>
              <w:t>Most přes tovární náhon ve Skrchově</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9,45</w:t>
            </w:r>
          </w:p>
        </w:tc>
        <w:tc>
          <w:tcPr>
            <w:tcW w:w="992" w:type="dxa"/>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3F0D50">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3723-1</w:t>
            </w:r>
          </w:p>
        </w:tc>
        <w:tc>
          <w:tcPr>
            <w:tcW w:w="3828" w:type="dxa"/>
            <w:gridSpan w:val="5"/>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rPr>
                <w:rFonts w:ascii="Arial" w:hAnsi="Arial" w:cs="Arial"/>
                <w:sz w:val="20"/>
                <w:szCs w:val="20"/>
              </w:rPr>
            </w:pPr>
            <w:r w:rsidRPr="003F0D50">
              <w:rPr>
                <w:rFonts w:ascii="Arial" w:hAnsi="Arial" w:cs="Arial"/>
                <w:sz w:val="20"/>
                <w:szCs w:val="20"/>
              </w:rPr>
              <w:t>Most přes Jevíčku ve Velkých Opatovicích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6,00</w:t>
            </w:r>
          </w:p>
        </w:tc>
        <w:tc>
          <w:tcPr>
            <w:tcW w:w="992" w:type="dxa"/>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3F0D50" w:rsidTr="003F0D50">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36829-1</w:t>
            </w:r>
          </w:p>
        </w:tc>
        <w:tc>
          <w:tcPr>
            <w:tcW w:w="3828" w:type="dxa"/>
            <w:gridSpan w:val="5"/>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rPr>
                <w:rFonts w:ascii="Arial" w:hAnsi="Arial" w:cs="Arial"/>
                <w:sz w:val="20"/>
                <w:szCs w:val="20"/>
              </w:rPr>
            </w:pPr>
            <w:r w:rsidRPr="003F0D50">
              <w:rPr>
                <w:rFonts w:ascii="Arial" w:hAnsi="Arial" w:cs="Arial"/>
                <w:sz w:val="20"/>
                <w:szCs w:val="20"/>
              </w:rPr>
              <w:t xml:space="preserve">Most přes Zavadilku v </w:t>
            </w:r>
            <w:proofErr w:type="spellStart"/>
            <w:r w:rsidRPr="003F0D50">
              <w:rPr>
                <w:rFonts w:ascii="Arial" w:hAnsi="Arial" w:cs="Arial"/>
                <w:sz w:val="20"/>
                <w:szCs w:val="20"/>
              </w:rPr>
              <w:t>Rumberku</w:t>
            </w:r>
            <w:proofErr w:type="spellEnd"/>
          </w:p>
        </w:tc>
        <w:tc>
          <w:tcPr>
            <w:tcW w:w="940" w:type="dxa"/>
            <w:gridSpan w:val="2"/>
            <w:tcBorders>
              <w:top w:val="nil"/>
              <w:left w:val="nil"/>
              <w:bottom w:val="single" w:sz="4" w:space="0" w:color="auto"/>
              <w:right w:val="single" w:sz="4" w:space="0" w:color="auto"/>
            </w:tcBorders>
            <w:shd w:val="clear" w:color="auto" w:fill="auto"/>
            <w:noWrap/>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6,70</w:t>
            </w:r>
          </w:p>
        </w:tc>
        <w:tc>
          <w:tcPr>
            <w:tcW w:w="992" w:type="dxa"/>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F0D50" w:rsidRPr="003F0D50" w:rsidRDefault="003F0D50" w:rsidP="003F0D50">
            <w:pPr>
              <w:jc w:val="center"/>
              <w:rPr>
                <w:rFonts w:ascii="Arial" w:hAnsi="Arial" w:cs="Arial"/>
                <w:sz w:val="20"/>
                <w:szCs w:val="20"/>
              </w:rPr>
            </w:pPr>
            <w:r w:rsidRPr="003F0D50">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F0D50" w:rsidRPr="005430C8" w:rsidRDefault="003F0D50" w:rsidP="003F0D50">
            <w:pPr>
              <w:jc w:val="center"/>
              <w:rPr>
                <w:rFonts w:ascii="Arial" w:hAnsi="Arial" w:cs="Arial"/>
                <w:sz w:val="20"/>
                <w:szCs w:val="20"/>
                <w:highlight w:val="yellow"/>
              </w:rPr>
            </w:pPr>
            <w:r w:rsidRPr="005430C8">
              <w:rPr>
                <w:rFonts w:ascii="Arial" w:hAnsi="Arial" w:cs="Arial"/>
                <w:sz w:val="20"/>
                <w:szCs w:val="20"/>
                <w:highlight w:val="yellow"/>
              </w:rPr>
              <w:t>***</w:t>
            </w:r>
          </w:p>
        </w:tc>
      </w:tr>
      <w:tr w:rsidR="001405ED" w:rsidTr="001405ED">
        <w:tblPrEx>
          <w:tblLook w:val="04A0" w:firstRow="1" w:lastRow="0" w:firstColumn="1" w:lastColumn="0" w:noHBand="0" w:noVBand="1"/>
        </w:tblPrEx>
        <w:trPr>
          <w:trHeight w:val="432"/>
        </w:trPr>
        <w:tc>
          <w:tcPr>
            <w:tcW w:w="8501" w:type="dxa"/>
            <w:gridSpan w:val="15"/>
            <w:tcBorders>
              <w:top w:val="nil"/>
              <w:left w:val="single" w:sz="8" w:space="0" w:color="auto"/>
              <w:bottom w:val="single" w:sz="4" w:space="0" w:color="auto"/>
              <w:right w:val="single" w:sz="4" w:space="0" w:color="auto"/>
            </w:tcBorders>
            <w:shd w:val="clear" w:color="auto" w:fill="auto"/>
            <w:noWrap/>
            <w:vAlign w:val="center"/>
          </w:tcPr>
          <w:p w:rsidR="001405ED" w:rsidRPr="001405ED" w:rsidRDefault="001405ED" w:rsidP="001405ED">
            <w:pPr>
              <w:rPr>
                <w:rFonts w:ascii="Arial" w:hAnsi="Arial" w:cs="Arial"/>
                <w:sz w:val="20"/>
                <w:szCs w:val="20"/>
              </w:rPr>
            </w:pPr>
            <w:r w:rsidRPr="001405ED">
              <w:rPr>
                <w:rFonts w:ascii="Arial" w:hAnsi="Arial" w:cs="Arial"/>
                <w:sz w:val="20"/>
                <w:szCs w:val="20"/>
              </w:rPr>
              <w:t>Cena celkem v Kč bez DPH</w:t>
            </w:r>
          </w:p>
        </w:tc>
        <w:tc>
          <w:tcPr>
            <w:tcW w:w="1422" w:type="dxa"/>
            <w:gridSpan w:val="2"/>
            <w:tcBorders>
              <w:top w:val="nil"/>
              <w:left w:val="nil"/>
              <w:bottom w:val="single" w:sz="4" w:space="0" w:color="auto"/>
              <w:right w:val="single" w:sz="8" w:space="0" w:color="auto"/>
            </w:tcBorders>
            <w:shd w:val="clear" w:color="auto" w:fill="auto"/>
            <w:noWrap/>
            <w:vAlign w:val="center"/>
          </w:tcPr>
          <w:p w:rsidR="001405ED"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1405ED">
        <w:tblPrEx>
          <w:tblLook w:val="04A0" w:firstRow="1" w:lastRow="0" w:firstColumn="1" w:lastColumn="0" w:noHBand="0" w:noVBand="1"/>
        </w:tblPrEx>
        <w:trPr>
          <w:trHeight w:val="518"/>
        </w:trPr>
        <w:tc>
          <w:tcPr>
            <w:tcW w:w="8501" w:type="dxa"/>
            <w:gridSpan w:val="15"/>
            <w:tcBorders>
              <w:top w:val="nil"/>
              <w:left w:val="single" w:sz="8" w:space="0" w:color="auto"/>
              <w:bottom w:val="single" w:sz="4" w:space="0" w:color="auto"/>
              <w:right w:val="single" w:sz="4" w:space="0" w:color="auto"/>
            </w:tcBorders>
            <w:shd w:val="clear" w:color="auto" w:fill="auto"/>
            <w:noWrap/>
            <w:vAlign w:val="center"/>
          </w:tcPr>
          <w:p w:rsidR="00A975B8" w:rsidRPr="003F0D50" w:rsidRDefault="00A975B8" w:rsidP="001405ED">
            <w:pPr>
              <w:rPr>
                <w:rFonts w:ascii="Arial" w:hAnsi="Arial" w:cs="Arial"/>
                <w:b/>
                <w:sz w:val="20"/>
                <w:szCs w:val="20"/>
              </w:rPr>
            </w:pP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tc>
        <w:tc>
          <w:tcPr>
            <w:tcW w:w="1422"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3F0D50">
        <w:rPr>
          <w:sz w:val="22"/>
          <w:szCs w:val="22"/>
        </w:rPr>
        <w:t>21</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6B297A">
      <w:rPr>
        <w:noProof/>
      </w:rPr>
      <w:t>8</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6B297A">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3F0D50">
          <w:pPr>
            <w:spacing w:before="100" w:after="100" w:line="240" w:lineRule="exact"/>
          </w:pPr>
          <w:r>
            <w:rPr>
              <w:i/>
              <w:sz w:val="16"/>
              <w:szCs w:val="16"/>
            </w:rPr>
            <w:t>Hl</w:t>
          </w:r>
          <w:r w:rsidR="003F0D50">
            <w:rPr>
              <w:i/>
              <w:sz w:val="16"/>
              <w:szCs w:val="16"/>
            </w:rPr>
            <w:t xml:space="preserve">avní prohlídky mostů v roce </w:t>
          </w:r>
          <w:proofErr w:type="gramStart"/>
          <w:r w:rsidR="003F0D50">
            <w:rPr>
              <w:i/>
              <w:sz w:val="16"/>
              <w:szCs w:val="16"/>
            </w:rPr>
            <w:t>2021</w:t>
          </w:r>
          <w:r>
            <w:rPr>
              <w:i/>
              <w:sz w:val="16"/>
              <w:szCs w:val="16"/>
            </w:rPr>
            <w:t xml:space="preserve">  </w:t>
          </w:r>
          <w:r w:rsidRPr="00A975B8">
            <w:rPr>
              <w:i/>
              <w:sz w:val="16"/>
              <w:szCs w:val="16"/>
            </w:rPr>
            <w:t xml:space="preserve">– </w:t>
          </w:r>
          <w:proofErr w:type="spellStart"/>
          <w:r w:rsidRPr="00A975B8">
            <w:rPr>
              <w:i/>
              <w:sz w:val="16"/>
              <w:szCs w:val="16"/>
            </w:rPr>
            <w:t>cestmistrovství</w:t>
          </w:r>
          <w:proofErr w:type="spellEnd"/>
          <w:proofErr w:type="gramEnd"/>
          <w:r w:rsidRPr="00A975B8">
            <w:rPr>
              <w:i/>
              <w:sz w:val="16"/>
              <w:szCs w:val="16"/>
            </w:rPr>
            <w:t xml:space="preserve"> </w:t>
          </w:r>
          <w:r w:rsidR="003F0D50">
            <w:rPr>
              <w:i/>
              <w:sz w:val="16"/>
              <w:szCs w:val="16"/>
            </w:rPr>
            <w:t>Blansko a</w:t>
          </w:r>
          <w:r>
            <w:rPr>
              <w:i/>
              <w:sz w:val="16"/>
              <w:szCs w:val="16"/>
            </w:rPr>
            <w:t xml:space="preserve"> Boskovice</w:t>
          </w:r>
          <w:r w:rsidRPr="0051251A">
            <w:rPr>
              <w:sz w:val="22"/>
              <w:szCs w:val="22"/>
            </w:rPr>
            <w:tab/>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1"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2"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5"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4"/>
  </w:num>
  <w:num w:numId="2">
    <w:abstractNumId w:val="9"/>
  </w:num>
  <w:num w:numId="3">
    <w:abstractNumId w:val="16"/>
  </w:num>
  <w:num w:numId="4">
    <w:abstractNumId w:val="35"/>
  </w:num>
  <w:num w:numId="5">
    <w:abstractNumId w:val="2"/>
  </w:num>
  <w:num w:numId="6">
    <w:abstractNumId w:val="11"/>
  </w:num>
  <w:num w:numId="7">
    <w:abstractNumId w:val="31"/>
  </w:num>
  <w:num w:numId="8">
    <w:abstractNumId w:val="36"/>
  </w:num>
  <w:num w:numId="9">
    <w:abstractNumId w:val="0"/>
  </w:num>
  <w:num w:numId="10">
    <w:abstractNumId w:val="23"/>
  </w:num>
  <w:num w:numId="11">
    <w:abstractNumId w:val="21"/>
  </w:num>
  <w:num w:numId="12">
    <w:abstractNumId w:val="32"/>
  </w:num>
  <w:num w:numId="13">
    <w:abstractNumId w:val="4"/>
  </w:num>
  <w:num w:numId="14">
    <w:abstractNumId w:val="42"/>
  </w:num>
  <w:num w:numId="15">
    <w:abstractNumId w:val="13"/>
  </w:num>
  <w:num w:numId="16">
    <w:abstractNumId w:val="33"/>
  </w:num>
  <w:num w:numId="17">
    <w:abstractNumId w:val="22"/>
  </w:num>
  <w:num w:numId="18">
    <w:abstractNumId w:val="34"/>
  </w:num>
  <w:num w:numId="19">
    <w:abstractNumId w:val="39"/>
  </w:num>
  <w:num w:numId="20">
    <w:abstractNumId w:val="26"/>
  </w:num>
  <w:num w:numId="21">
    <w:abstractNumId w:val="5"/>
  </w:num>
  <w:num w:numId="22">
    <w:abstractNumId w:val="14"/>
  </w:num>
  <w:num w:numId="23">
    <w:abstractNumId w:val="7"/>
  </w:num>
  <w:num w:numId="24">
    <w:abstractNumId w:val="38"/>
  </w:num>
  <w:num w:numId="25">
    <w:abstractNumId w:val="37"/>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1"/>
  </w:num>
  <w:num w:numId="32">
    <w:abstractNumId w:val="30"/>
  </w:num>
  <w:num w:numId="33">
    <w:abstractNumId w:val="43"/>
  </w:num>
  <w:num w:numId="34">
    <w:abstractNumId w:val="29"/>
  </w:num>
  <w:num w:numId="35">
    <w:abstractNumId w:val="45"/>
  </w:num>
  <w:num w:numId="36">
    <w:abstractNumId w:val="29"/>
  </w:num>
  <w:num w:numId="37">
    <w:abstractNumId w:val="10"/>
  </w:num>
  <w:num w:numId="38">
    <w:abstractNumId w:val="18"/>
  </w:num>
  <w:num w:numId="39">
    <w:abstractNumId w:val="25"/>
  </w:num>
  <w:num w:numId="40">
    <w:abstractNumId w:val="28"/>
  </w:num>
  <w:num w:numId="41">
    <w:abstractNumId w:val="27"/>
  </w:num>
  <w:num w:numId="42">
    <w:abstractNumId w:val="3"/>
  </w:num>
  <w:num w:numId="43">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40"/>
  </w:num>
  <w:num w:numId="47">
    <w:abstractNumId w:val="19"/>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7448"/>
    <w:rsid w:val="0014055C"/>
    <w:rsid w:val="001405ED"/>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B297A"/>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2300D"/>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FA2B9-3EDA-4AB8-8766-0BBC7BC5D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8</Pages>
  <Words>1880</Words>
  <Characters>11092</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20</cp:revision>
  <cp:lastPrinted>2019-02-11T11:28:00Z</cp:lastPrinted>
  <dcterms:created xsi:type="dcterms:W3CDTF">2018-02-21T09:59:00Z</dcterms:created>
  <dcterms:modified xsi:type="dcterms:W3CDTF">2021-02-24T07:00:00Z</dcterms:modified>
</cp:coreProperties>
</file>