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332914" w14:textId="77777777" w:rsidR="009A63BF" w:rsidRDefault="009A63BF">
      <w:pPr>
        <w:jc w:val="center"/>
        <w:rPr>
          <w:rFonts w:ascii="Verdana" w:hAnsi="Verdana" w:cs="Verdana"/>
          <w:sz w:val="16"/>
          <w:szCs w:val="16"/>
        </w:rPr>
      </w:pPr>
    </w:p>
    <w:p w14:paraId="5BBB9F4F" w14:textId="77777777" w:rsidR="009A63BF" w:rsidRDefault="009A63BF">
      <w:pPr>
        <w:jc w:val="center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SPECIFIKACE A TECHNICKÉ POŽADAVKY ZAŘÍZENÍ</w:t>
      </w:r>
    </w:p>
    <w:p w14:paraId="47DB78A2" w14:textId="77777777" w:rsidR="009A63BF" w:rsidRDefault="009A63BF" w:rsidP="00087F85">
      <w:pPr>
        <w:rPr>
          <w:rFonts w:ascii="Verdana" w:hAnsi="Verdana" w:cs="Verdana"/>
          <w:sz w:val="40"/>
          <w:szCs w:val="40"/>
        </w:rPr>
      </w:pPr>
    </w:p>
    <w:p w14:paraId="761946CA" w14:textId="19128540" w:rsidR="009A63BF" w:rsidRDefault="009A63BF">
      <w:pPr>
        <w:jc w:val="center"/>
        <w:rPr>
          <w:rFonts w:ascii="Verdana" w:hAnsi="Verdana" w:cs="Verdana"/>
          <w:b/>
          <w:caps/>
          <w:color w:val="4BACC6"/>
          <w:sz w:val="32"/>
          <w:szCs w:val="32"/>
        </w:rPr>
      </w:pPr>
      <w:r>
        <w:rPr>
          <w:rFonts w:ascii="Verdana" w:eastAsia="Verdana" w:hAnsi="Verdana" w:cs="Verdana"/>
          <w:b/>
          <w:caps/>
          <w:color w:val="4BACC6"/>
          <w:sz w:val="38"/>
          <w:szCs w:val="38"/>
        </w:rPr>
        <w:t>„</w:t>
      </w:r>
      <w:r w:rsidR="00504AA7">
        <w:rPr>
          <w:rFonts w:ascii="Verdana" w:eastAsia="Verdana" w:hAnsi="Verdana" w:cs="Verdana"/>
          <w:b/>
          <w:caps/>
          <w:color w:val="4BACC6"/>
          <w:sz w:val="32"/>
          <w:szCs w:val="32"/>
        </w:rPr>
        <w:t>HOLMIOVÝ LASER</w:t>
      </w:r>
      <w:r w:rsidRPr="00087F85">
        <w:rPr>
          <w:rFonts w:ascii="Verdana" w:hAnsi="Verdana" w:cs="Verdana"/>
          <w:b/>
          <w:caps/>
          <w:color w:val="4BACC6"/>
          <w:sz w:val="32"/>
          <w:szCs w:val="32"/>
        </w:rPr>
        <w:t>“</w:t>
      </w:r>
      <w:r w:rsidR="00C64ECD">
        <w:rPr>
          <w:rFonts w:ascii="Verdana" w:hAnsi="Verdana" w:cs="Verdana"/>
          <w:b/>
          <w:caps/>
          <w:color w:val="4BACC6"/>
          <w:sz w:val="32"/>
          <w:szCs w:val="32"/>
        </w:rPr>
        <w:t xml:space="preserve"> II.</w:t>
      </w:r>
    </w:p>
    <w:p w14:paraId="42DE7176" w14:textId="77777777" w:rsidR="00504AA7" w:rsidRDefault="00504AA7">
      <w:pPr>
        <w:jc w:val="center"/>
        <w:rPr>
          <w:rFonts w:ascii="Verdana" w:hAnsi="Verdana" w:cs="Verdana"/>
          <w:b/>
          <w:caps/>
          <w:color w:val="4BACC6"/>
          <w:sz w:val="32"/>
          <w:szCs w:val="32"/>
        </w:rPr>
      </w:pPr>
    </w:p>
    <w:p w14:paraId="2E234537" w14:textId="73381A5F" w:rsidR="00A77739" w:rsidRDefault="00A77739" w:rsidP="00504AA7">
      <w:pPr>
        <w:tabs>
          <w:tab w:val="left" w:pos="710"/>
          <w:tab w:val="left" w:pos="1420"/>
          <w:tab w:val="left" w:pos="5680"/>
          <w:tab w:val="left" w:pos="6532"/>
          <w:tab w:val="left" w:pos="7797"/>
          <w:tab w:val="left" w:pos="8378"/>
          <w:tab w:val="left" w:pos="8931"/>
        </w:tabs>
        <w:suppressAutoHyphens w:val="0"/>
        <w:jc w:val="both"/>
        <w:rPr>
          <w:rFonts w:ascii="Verdana" w:hAnsi="Verdana" w:cs="Verdana"/>
          <w:sz w:val="22"/>
          <w:szCs w:val="22"/>
        </w:rPr>
      </w:pPr>
    </w:p>
    <w:p w14:paraId="24A9DD82" w14:textId="2C0D5459" w:rsidR="00504AA7" w:rsidRPr="00504AA7" w:rsidRDefault="00504AA7" w:rsidP="00504AA7">
      <w:pPr>
        <w:pStyle w:val="Odstavecseseznamem"/>
        <w:autoSpaceDE w:val="0"/>
        <w:autoSpaceDN w:val="0"/>
        <w:adjustRightInd w:val="0"/>
        <w:ind w:left="0"/>
        <w:rPr>
          <w:rFonts w:ascii="Verdana" w:eastAsia="HiddenHorzOCR" w:hAnsi="Verdana"/>
          <w:b/>
          <w:bCs/>
          <w:color w:val="2F2F2F"/>
        </w:rPr>
      </w:pPr>
      <w:r w:rsidRPr="00504AA7">
        <w:rPr>
          <w:rFonts w:ascii="Verdana" w:eastAsia="HiddenHorzOCR" w:hAnsi="Verdana"/>
          <w:b/>
          <w:bCs/>
          <w:color w:val="2F2F2F"/>
        </w:rPr>
        <w:t>Technická specifikace:</w:t>
      </w:r>
    </w:p>
    <w:p w14:paraId="23A39081" w14:textId="77777777" w:rsidR="00504AA7" w:rsidRPr="00504AA7" w:rsidRDefault="00504AA7" w:rsidP="00504AA7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contextualSpacing w:val="0"/>
        <w:rPr>
          <w:rFonts w:eastAsia="HiddenHorzOCR"/>
          <w:color w:val="000000"/>
        </w:rPr>
      </w:pPr>
      <w:r w:rsidRPr="00504AA7">
        <w:rPr>
          <w:rFonts w:eastAsia="HiddenHorzOCR"/>
          <w:color w:val="000000"/>
        </w:rPr>
        <w:t xml:space="preserve">Holmiový, tj. CTH: YAG pulzní laser </w:t>
      </w:r>
    </w:p>
    <w:p w14:paraId="54EB7B41" w14:textId="77777777" w:rsidR="00504AA7" w:rsidRPr="00504AA7" w:rsidRDefault="00504AA7" w:rsidP="00504AA7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contextualSpacing w:val="0"/>
        <w:rPr>
          <w:rFonts w:eastAsia="HiddenHorzOCR"/>
          <w:color w:val="000000"/>
        </w:rPr>
      </w:pPr>
      <w:r w:rsidRPr="00504AA7">
        <w:rPr>
          <w:rFonts w:eastAsia="HiddenHorzOCR"/>
          <w:color w:val="000000"/>
        </w:rPr>
        <w:t>Maximální pulzní výkon 60 W</w:t>
      </w:r>
    </w:p>
    <w:p w14:paraId="68E45702" w14:textId="77777777" w:rsidR="00504AA7" w:rsidRPr="00504AA7" w:rsidRDefault="00504AA7" w:rsidP="00504AA7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contextualSpacing w:val="0"/>
        <w:rPr>
          <w:rFonts w:eastAsia="HiddenHorzOCR"/>
          <w:color w:val="000000"/>
        </w:rPr>
      </w:pPr>
      <w:r w:rsidRPr="00504AA7">
        <w:rPr>
          <w:rFonts w:eastAsia="HiddenHorzOCR"/>
          <w:color w:val="000000"/>
        </w:rPr>
        <w:t>Uzavřený, vodou chlazený, systém – pro kontinuální použití</w:t>
      </w:r>
    </w:p>
    <w:p w14:paraId="1AEAE53C" w14:textId="77777777" w:rsidR="00504AA7" w:rsidRPr="00504AA7" w:rsidRDefault="00504AA7" w:rsidP="00504AA7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contextualSpacing w:val="0"/>
        <w:rPr>
          <w:rFonts w:eastAsia="HiddenHorzOCR"/>
          <w:color w:val="000000"/>
        </w:rPr>
      </w:pPr>
      <w:r w:rsidRPr="00504AA7">
        <w:rPr>
          <w:rFonts w:eastAsia="HiddenHorzOCR"/>
          <w:color w:val="000000"/>
        </w:rPr>
        <w:t>Vlnová délka laseru 2,1 µm</w:t>
      </w:r>
    </w:p>
    <w:p w14:paraId="4068EBCA" w14:textId="77777777" w:rsidR="00504AA7" w:rsidRPr="00504AA7" w:rsidRDefault="00504AA7" w:rsidP="00504AA7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contextualSpacing w:val="0"/>
        <w:rPr>
          <w:rFonts w:eastAsia="HiddenHorzOCR"/>
          <w:color w:val="000000"/>
        </w:rPr>
      </w:pPr>
      <w:r w:rsidRPr="00504AA7">
        <w:rPr>
          <w:rFonts w:eastAsia="HiddenHorzOCR"/>
          <w:color w:val="000000"/>
        </w:rPr>
        <w:t>Maximální pulzní energie 5 Joulů</w:t>
      </w:r>
    </w:p>
    <w:p w14:paraId="142A78AE" w14:textId="77777777" w:rsidR="00504AA7" w:rsidRPr="00504AA7" w:rsidRDefault="00504AA7" w:rsidP="00504AA7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contextualSpacing w:val="0"/>
        <w:rPr>
          <w:rFonts w:eastAsia="HiddenHorzOCR"/>
          <w:color w:val="000000"/>
        </w:rPr>
      </w:pPr>
      <w:r w:rsidRPr="00504AA7">
        <w:rPr>
          <w:rFonts w:eastAsia="HiddenHorzOCR"/>
          <w:color w:val="000000"/>
        </w:rPr>
        <w:t>Frekvence pulzů 3 – 60 Hz</w:t>
      </w:r>
    </w:p>
    <w:p w14:paraId="3C646BF3" w14:textId="77777777" w:rsidR="00504AA7" w:rsidRPr="00504AA7" w:rsidRDefault="00504AA7" w:rsidP="00504AA7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contextualSpacing w:val="0"/>
        <w:rPr>
          <w:rFonts w:eastAsia="HiddenHorzOCR"/>
          <w:color w:val="000000"/>
        </w:rPr>
      </w:pPr>
      <w:r w:rsidRPr="00504AA7">
        <w:rPr>
          <w:rFonts w:eastAsia="HiddenHorzOCR"/>
          <w:color w:val="000000"/>
        </w:rPr>
        <w:t xml:space="preserve">Šířka pulzů 50-1100 µs, </w:t>
      </w:r>
    </w:p>
    <w:p w14:paraId="738E20B7" w14:textId="77777777" w:rsidR="00504AA7" w:rsidRPr="00504AA7" w:rsidRDefault="00504AA7" w:rsidP="00504AA7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contextualSpacing w:val="0"/>
        <w:rPr>
          <w:rFonts w:eastAsia="HiddenHorzOCR"/>
          <w:color w:val="000000"/>
        </w:rPr>
      </w:pPr>
      <w:r w:rsidRPr="00504AA7">
        <w:rPr>
          <w:rFonts w:eastAsia="HiddenHorzOCR"/>
          <w:color w:val="000000"/>
        </w:rPr>
        <w:t>Automaticky nastavená šířka pulzu dle zvoleného módu bez nutnosti manuálního nastavení</w:t>
      </w:r>
    </w:p>
    <w:p w14:paraId="2E8A0BB6" w14:textId="77777777" w:rsidR="00504AA7" w:rsidRPr="00504AA7" w:rsidRDefault="00504AA7" w:rsidP="00504AA7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contextualSpacing w:val="0"/>
        <w:rPr>
          <w:rFonts w:eastAsia="HiddenHorzOCR"/>
          <w:color w:val="000000"/>
        </w:rPr>
      </w:pPr>
      <w:r w:rsidRPr="00504AA7">
        <w:rPr>
          <w:rFonts w:eastAsia="HiddenHorzOCR"/>
          <w:color w:val="000000"/>
        </w:rPr>
        <w:t>Nastavení a zobrazení parametrů přes barevný dotykový displej</w:t>
      </w:r>
    </w:p>
    <w:p w14:paraId="00F00915" w14:textId="77777777" w:rsidR="00504AA7" w:rsidRPr="00504AA7" w:rsidRDefault="00504AA7" w:rsidP="00504AA7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contextualSpacing w:val="0"/>
        <w:rPr>
          <w:rFonts w:eastAsia="HiddenHorzOCR"/>
          <w:color w:val="000000"/>
        </w:rPr>
      </w:pPr>
      <w:r w:rsidRPr="00504AA7">
        <w:rPr>
          <w:rFonts w:eastAsia="HiddenHorzOCR"/>
          <w:color w:val="000000"/>
        </w:rPr>
        <w:t>Otočný displej kolem své osy pro snadný přístup ze všech stran</w:t>
      </w:r>
    </w:p>
    <w:p w14:paraId="13991471" w14:textId="77777777" w:rsidR="00504AA7" w:rsidRPr="00504AA7" w:rsidRDefault="00504AA7" w:rsidP="00504AA7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contextualSpacing w:val="0"/>
        <w:rPr>
          <w:rFonts w:eastAsia="HiddenHorzOCR"/>
          <w:color w:val="000000"/>
        </w:rPr>
      </w:pPr>
      <w:r w:rsidRPr="00504AA7">
        <w:rPr>
          <w:rFonts w:eastAsia="HiddenHorzOCR"/>
          <w:color w:val="000000"/>
        </w:rPr>
        <w:t>Nastavitelný barevný naváděcí paprsek vlnové délky 532 nm</w:t>
      </w:r>
    </w:p>
    <w:p w14:paraId="72B1F429" w14:textId="77777777" w:rsidR="00504AA7" w:rsidRPr="00504AA7" w:rsidRDefault="00504AA7" w:rsidP="00504AA7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contextualSpacing w:val="0"/>
        <w:rPr>
          <w:rFonts w:eastAsia="HiddenHorzOCR"/>
          <w:color w:val="000000"/>
        </w:rPr>
      </w:pPr>
      <w:r w:rsidRPr="00504AA7">
        <w:rPr>
          <w:rFonts w:eastAsia="HiddenHorzOCR"/>
          <w:color w:val="000000"/>
        </w:rPr>
        <w:t>Barevný indikátor stavu na čelní straně generátoru – pro jasnou a rychlou orientaci, v jakém stavu se generátor nachází (standby, ready, emise, error ..,)</w:t>
      </w:r>
    </w:p>
    <w:p w14:paraId="2FF0CEAE" w14:textId="3C7142BE" w:rsidR="00504AA7" w:rsidRPr="00504AA7" w:rsidRDefault="00B43077" w:rsidP="00504AA7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contextualSpacing w:val="0"/>
        <w:rPr>
          <w:rFonts w:eastAsia="HiddenHorzOCR"/>
          <w:color w:val="000000"/>
        </w:rPr>
      </w:pPr>
      <w:r>
        <w:rPr>
          <w:rFonts w:eastAsia="HiddenHorzOCR"/>
          <w:color w:val="000000"/>
        </w:rPr>
        <w:t>N</w:t>
      </w:r>
      <w:r w:rsidR="00504AA7" w:rsidRPr="00504AA7">
        <w:rPr>
          <w:rFonts w:eastAsia="HiddenHorzOCR"/>
          <w:color w:val="000000"/>
        </w:rPr>
        <w:t>ožní pedál se 3 tlačítky</w:t>
      </w:r>
    </w:p>
    <w:p w14:paraId="4435BC28" w14:textId="77777777" w:rsidR="00504AA7" w:rsidRPr="00504AA7" w:rsidRDefault="00504AA7" w:rsidP="00504AA7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contextualSpacing w:val="0"/>
        <w:rPr>
          <w:rFonts w:eastAsia="HiddenHorzOCR"/>
          <w:color w:val="000000"/>
        </w:rPr>
      </w:pPr>
      <w:r w:rsidRPr="00504AA7">
        <w:rPr>
          <w:rFonts w:eastAsia="HiddenHorzOCR"/>
          <w:color w:val="000000"/>
        </w:rPr>
        <w:t>Přepínání mezi Stand-by a Ready módem pomocí nožního pedálu bez nutnosti ovládání obsluhou na generátoru (zabránění nechtěné aktivaci)</w:t>
      </w:r>
    </w:p>
    <w:p w14:paraId="5C80274B" w14:textId="77777777" w:rsidR="00504AA7" w:rsidRPr="00504AA7" w:rsidRDefault="00504AA7" w:rsidP="00504AA7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contextualSpacing w:val="0"/>
        <w:rPr>
          <w:rFonts w:eastAsia="HiddenHorzOCR"/>
          <w:color w:val="000000"/>
        </w:rPr>
      </w:pPr>
      <w:r w:rsidRPr="00504AA7">
        <w:rPr>
          <w:rFonts w:eastAsia="HiddenHorzOCR"/>
          <w:color w:val="000000"/>
        </w:rPr>
        <w:t>Programovatelné přiřazení levého a pravého spínače na pedálu – možnost spínání různých módů laseru bez nutnosti přepínání módů na generátoru</w:t>
      </w:r>
    </w:p>
    <w:p w14:paraId="3B703D24" w14:textId="77777777" w:rsidR="00504AA7" w:rsidRPr="00504AA7" w:rsidRDefault="00504AA7" w:rsidP="00504AA7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contextualSpacing w:val="0"/>
        <w:rPr>
          <w:rFonts w:eastAsia="HiddenHorzOCR"/>
          <w:color w:val="000000"/>
        </w:rPr>
      </w:pPr>
      <w:r w:rsidRPr="00504AA7">
        <w:rPr>
          <w:rFonts w:eastAsia="HiddenHorzOCR"/>
          <w:color w:val="000000"/>
        </w:rPr>
        <w:t xml:space="preserve">Přednastavené módy pro dosažení různých účinků na konkrement </w:t>
      </w:r>
    </w:p>
    <w:p w14:paraId="5BE66033" w14:textId="77777777" w:rsidR="00504AA7" w:rsidRPr="00504AA7" w:rsidRDefault="00504AA7" w:rsidP="00504AA7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contextualSpacing w:val="0"/>
        <w:rPr>
          <w:rFonts w:eastAsia="HiddenHorzOCR"/>
          <w:color w:val="000000"/>
        </w:rPr>
      </w:pPr>
      <w:r w:rsidRPr="00504AA7">
        <w:rPr>
          <w:rFonts w:eastAsia="HiddenHorzOCR"/>
          <w:color w:val="000000"/>
        </w:rPr>
        <w:t xml:space="preserve">Přednastavené módy pro řešení litiázy </w:t>
      </w:r>
    </w:p>
    <w:p w14:paraId="3005615D" w14:textId="77777777" w:rsidR="00504AA7" w:rsidRPr="00504AA7" w:rsidRDefault="00504AA7" w:rsidP="00504AA7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contextualSpacing w:val="0"/>
        <w:rPr>
          <w:rFonts w:eastAsia="HiddenHorzOCR"/>
          <w:color w:val="000000"/>
        </w:rPr>
      </w:pPr>
      <w:r w:rsidRPr="00504AA7">
        <w:rPr>
          <w:rFonts w:eastAsia="HiddenHorzOCR"/>
          <w:color w:val="000000"/>
        </w:rPr>
        <w:t>Mód s nízkou energií a vysokou frekvencí pulzů pro dosažení efektu rychlého „pískování“ konkrementu</w:t>
      </w:r>
    </w:p>
    <w:p w14:paraId="79D9964D" w14:textId="6E6E352D" w:rsidR="00504AA7" w:rsidRPr="007377ED" w:rsidRDefault="00504AA7" w:rsidP="00FA2DD0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contextualSpacing w:val="0"/>
        <w:rPr>
          <w:rFonts w:eastAsia="HiddenHorzOCR"/>
          <w:color w:val="000000"/>
        </w:rPr>
      </w:pPr>
      <w:r w:rsidRPr="007377ED">
        <w:rPr>
          <w:rFonts w:eastAsia="HiddenHorzOCR"/>
          <w:color w:val="000000"/>
        </w:rPr>
        <w:t>S</w:t>
      </w:r>
      <w:r w:rsidR="00567699" w:rsidRPr="007377ED">
        <w:rPr>
          <w:rFonts w:eastAsia="HiddenHorzOCR"/>
          <w:color w:val="000000"/>
        </w:rPr>
        <w:t>tabilizační mód</w:t>
      </w:r>
      <w:r w:rsidR="00FE3046" w:rsidRPr="007377ED">
        <w:rPr>
          <w:rFonts w:eastAsia="HiddenHorzOCR"/>
          <w:color w:val="000000"/>
        </w:rPr>
        <w:t xml:space="preserve"> – speciální mód pro eliminaci pohybu konkrementu</w:t>
      </w:r>
      <w:r w:rsidR="00567699" w:rsidRPr="007377ED">
        <w:rPr>
          <w:rFonts w:eastAsia="HiddenHorzOCR"/>
          <w:color w:val="000000"/>
        </w:rPr>
        <w:t>, kdy v průběhu litotrypse dojde k první aktivaci laseru k vytvoření vzduchové kapsy mezi vláknem a konkrementem, v zápětí další aktivac</w:t>
      </w:r>
      <w:r w:rsidR="00CC44CF" w:rsidRPr="007377ED">
        <w:rPr>
          <w:rFonts w:eastAsia="HiddenHorzOCR"/>
          <w:color w:val="000000"/>
        </w:rPr>
        <w:t>í</w:t>
      </w:r>
      <w:r w:rsidR="00567699" w:rsidRPr="007377ED">
        <w:rPr>
          <w:rFonts w:eastAsia="HiddenHorzOCR"/>
          <w:color w:val="000000"/>
        </w:rPr>
        <w:t xml:space="preserve"> laseru je dosaženo afektu dr</w:t>
      </w:r>
      <w:r w:rsidR="00CC44CF" w:rsidRPr="007377ED">
        <w:rPr>
          <w:rFonts w:eastAsia="HiddenHorzOCR"/>
          <w:color w:val="000000"/>
        </w:rPr>
        <w:t>c</w:t>
      </w:r>
      <w:r w:rsidR="00567699" w:rsidRPr="007377ED">
        <w:rPr>
          <w:rFonts w:eastAsia="HiddenHorzOCR"/>
          <w:color w:val="000000"/>
        </w:rPr>
        <w:t xml:space="preserve">ení konkrementu </w:t>
      </w:r>
      <w:r w:rsidR="00811C4E" w:rsidRPr="007377ED">
        <w:rPr>
          <w:rFonts w:eastAsia="HiddenHorzOCR"/>
          <w:color w:val="000000"/>
        </w:rPr>
        <w:t>s minimalizací retropulze</w:t>
      </w:r>
    </w:p>
    <w:p w14:paraId="2B680B8C" w14:textId="04C23D8C" w:rsidR="00504AA7" w:rsidRPr="00504AA7" w:rsidRDefault="00504AA7" w:rsidP="00504AA7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contextualSpacing w:val="0"/>
        <w:rPr>
          <w:rFonts w:eastAsia="HiddenHorzOCR"/>
          <w:color w:val="000000"/>
        </w:rPr>
      </w:pPr>
      <w:r w:rsidRPr="00504AA7">
        <w:rPr>
          <w:rFonts w:eastAsia="HiddenHorzOCR"/>
          <w:color w:val="000000"/>
        </w:rPr>
        <w:t xml:space="preserve">Nastavení pomocí </w:t>
      </w:r>
      <w:r w:rsidR="00567699">
        <w:rPr>
          <w:rFonts w:eastAsia="HiddenHorzOCR"/>
          <w:color w:val="000000"/>
        </w:rPr>
        <w:t xml:space="preserve">změny délky </w:t>
      </w:r>
      <w:r w:rsidRPr="00504AA7">
        <w:rPr>
          <w:rFonts w:eastAsia="HiddenHorzOCR"/>
          <w:color w:val="000000"/>
        </w:rPr>
        <w:t>pulzu pro optimální redukci retropulze a volby stupně ablace/koagulace měkké tkáně</w:t>
      </w:r>
    </w:p>
    <w:p w14:paraId="518FD233" w14:textId="77777777" w:rsidR="00504AA7" w:rsidRPr="00504AA7" w:rsidRDefault="00504AA7" w:rsidP="00504AA7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contextualSpacing w:val="0"/>
        <w:rPr>
          <w:rFonts w:eastAsia="HiddenHorzOCR"/>
          <w:color w:val="000000"/>
        </w:rPr>
      </w:pPr>
      <w:r w:rsidRPr="00504AA7">
        <w:rPr>
          <w:rFonts w:eastAsia="HiddenHorzOCR"/>
          <w:color w:val="000000"/>
        </w:rPr>
        <w:t>Přednastavené módy pro BPH (benigní hyperplasie prostaty): HoLEP (enukleace), HoLAP (ablace), hemostáza (koagulace) – případně další</w:t>
      </w:r>
    </w:p>
    <w:p w14:paraId="157FCE4A" w14:textId="08E25617" w:rsidR="00504AA7" w:rsidRPr="00504AA7" w:rsidRDefault="00504AA7" w:rsidP="00504AA7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contextualSpacing w:val="0"/>
        <w:rPr>
          <w:rFonts w:eastAsia="HiddenHorzOCR"/>
          <w:color w:val="000000"/>
        </w:rPr>
      </w:pPr>
      <w:r w:rsidRPr="00504AA7">
        <w:rPr>
          <w:rFonts w:eastAsia="HiddenHorzOCR"/>
          <w:color w:val="000000"/>
        </w:rPr>
        <w:t>Přednastavené módy pro měkkou tkáň: incize</w:t>
      </w:r>
      <w:r w:rsidR="00567699">
        <w:rPr>
          <w:rFonts w:eastAsia="HiddenHorzOCR"/>
          <w:color w:val="000000"/>
        </w:rPr>
        <w:t xml:space="preserve">, </w:t>
      </w:r>
      <w:r w:rsidRPr="00504AA7">
        <w:rPr>
          <w:rFonts w:eastAsia="HiddenHorzOCR"/>
          <w:color w:val="000000"/>
        </w:rPr>
        <w:t>ablace tumoru, hemostáza (koagulace) – případně další</w:t>
      </w:r>
    </w:p>
    <w:p w14:paraId="6319A59A" w14:textId="77777777" w:rsidR="00504AA7" w:rsidRPr="00504AA7" w:rsidRDefault="00504AA7" w:rsidP="00504AA7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contextualSpacing w:val="0"/>
        <w:rPr>
          <w:rFonts w:eastAsia="HiddenHorzOCR"/>
          <w:color w:val="000000"/>
        </w:rPr>
      </w:pPr>
      <w:r w:rsidRPr="00504AA7">
        <w:rPr>
          <w:rFonts w:eastAsia="HiddenHorzOCR"/>
          <w:color w:val="000000"/>
        </w:rPr>
        <w:lastRenderedPageBreak/>
        <w:t>Možnost uložení upravených nastavení do paměti přístroje</w:t>
      </w:r>
    </w:p>
    <w:p w14:paraId="69F2F20A" w14:textId="77777777" w:rsidR="00504AA7" w:rsidRPr="00504AA7" w:rsidRDefault="00504AA7" w:rsidP="00504AA7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contextualSpacing w:val="0"/>
        <w:rPr>
          <w:rFonts w:eastAsia="HiddenHorzOCR"/>
          <w:color w:val="000000"/>
        </w:rPr>
      </w:pPr>
      <w:r w:rsidRPr="00504AA7">
        <w:rPr>
          <w:rFonts w:eastAsia="HiddenHorzOCR"/>
          <w:color w:val="000000"/>
        </w:rPr>
        <w:t xml:space="preserve">Rozpoznání připojeného vlákna a zobrazení historie jeho použití </w:t>
      </w:r>
    </w:p>
    <w:p w14:paraId="283C5575" w14:textId="67F4215A" w:rsidR="00504AA7" w:rsidRPr="00504AA7" w:rsidRDefault="00504AA7" w:rsidP="00504AA7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contextualSpacing w:val="0"/>
        <w:rPr>
          <w:rFonts w:eastAsia="HiddenHorzOCR"/>
          <w:color w:val="000000"/>
        </w:rPr>
      </w:pPr>
      <w:r w:rsidRPr="00504AA7">
        <w:rPr>
          <w:rFonts w:eastAsia="HiddenHorzOCR"/>
          <w:color w:val="000000"/>
        </w:rPr>
        <w:t xml:space="preserve">Použití jednorázových i opakovatelně použitelných vláken (sterilizovatelné na 134°C v parním autoklávu) </w:t>
      </w:r>
    </w:p>
    <w:p w14:paraId="2DA72B98" w14:textId="77777777" w:rsidR="00504AA7" w:rsidRPr="00504AA7" w:rsidRDefault="00504AA7" w:rsidP="00504AA7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contextualSpacing w:val="0"/>
        <w:rPr>
          <w:rFonts w:eastAsia="HiddenHorzOCR"/>
          <w:color w:val="000000"/>
        </w:rPr>
      </w:pPr>
      <w:r w:rsidRPr="00504AA7">
        <w:rPr>
          <w:rFonts w:eastAsia="HiddenHorzOCR"/>
          <w:color w:val="000000"/>
        </w:rPr>
        <w:t>Spektrum připojitelných flexibilních vláken s průměrem jádra 200–1000 µm</w:t>
      </w:r>
    </w:p>
    <w:p w14:paraId="014021A4" w14:textId="77777777" w:rsidR="00504AA7" w:rsidRPr="00504AA7" w:rsidRDefault="00504AA7" w:rsidP="00504AA7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contextualSpacing w:val="0"/>
        <w:rPr>
          <w:rFonts w:eastAsia="HiddenHorzOCR"/>
          <w:color w:val="000000"/>
        </w:rPr>
      </w:pPr>
      <w:r w:rsidRPr="00504AA7">
        <w:rPr>
          <w:rFonts w:eastAsia="HiddenHorzOCR"/>
          <w:color w:val="000000"/>
        </w:rPr>
        <w:t xml:space="preserve">Připojení vlákna s průměrem 272 µm s „ball tip“ koncem pro ochranu pracovního kanálu flexibilního endoskopu </w:t>
      </w:r>
    </w:p>
    <w:p w14:paraId="145745A1" w14:textId="77777777" w:rsidR="00504AA7" w:rsidRPr="00504AA7" w:rsidRDefault="00504AA7" w:rsidP="00504AA7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contextualSpacing w:val="0"/>
        <w:rPr>
          <w:rFonts w:eastAsia="HiddenHorzOCR"/>
          <w:color w:val="000000"/>
        </w:rPr>
      </w:pPr>
      <w:r w:rsidRPr="00504AA7">
        <w:rPr>
          <w:rFonts w:eastAsia="HiddenHorzOCR"/>
          <w:color w:val="000000"/>
        </w:rPr>
        <w:t xml:space="preserve">Integrovaný ochranný štít chránící laserové čočky proti znečištění </w:t>
      </w:r>
    </w:p>
    <w:p w14:paraId="7316FC0A" w14:textId="77777777" w:rsidR="00504AA7" w:rsidRPr="00504AA7" w:rsidRDefault="00504AA7" w:rsidP="00504AA7">
      <w:pPr>
        <w:pStyle w:val="Odstavecseseznamem"/>
        <w:autoSpaceDE w:val="0"/>
        <w:autoSpaceDN w:val="0"/>
        <w:adjustRightInd w:val="0"/>
        <w:ind w:left="426"/>
        <w:rPr>
          <w:rFonts w:eastAsia="HiddenHorzOCR"/>
          <w:color w:val="000000"/>
        </w:rPr>
      </w:pPr>
    </w:p>
    <w:p w14:paraId="6F925051" w14:textId="77777777" w:rsidR="00504AA7" w:rsidRPr="00504AA7" w:rsidRDefault="00504AA7" w:rsidP="00504AA7">
      <w:pPr>
        <w:pStyle w:val="Odstavecseseznamem"/>
        <w:autoSpaceDE w:val="0"/>
        <w:autoSpaceDN w:val="0"/>
        <w:adjustRightInd w:val="0"/>
        <w:ind w:left="0"/>
        <w:rPr>
          <w:rFonts w:eastAsia="HiddenHorzOCR"/>
          <w:color w:val="000000"/>
        </w:rPr>
      </w:pPr>
    </w:p>
    <w:p w14:paraId="5B201907" w14:textId="77777777" w:rsidR="00504AA7" w:rsidRPr="00504AA7" w:rsidRDefault="00504AA7" w:rsidP="00504AA7">
      <w:pPr>
        <w:pStyle w:val="Odstavecseseznamem"/>
        <w:autoSpaceDE w:val="0"/>
        <w:autoSpaceDN w:val="0"/>
        <w:adjustRightInd w:val="0"/>
        <w:ind w:left="426"/>
        <w:rPr>
          <w:rFonts w:eastAsia="HiddenHorzOCR"/>
          <w:color w:val="000000"/>
        </w:rPr>
      </w:pPr>
    </w:p>
    <w:p w14:paraId="35B91603" w14:textId="77777777" w:rsidR="00504AA7" w:rsidRPr="00504AA7" w:rsidRDefault="00504AA7" w:rsidP="00504AA7">
      <w:pPr>
        <w:pStyle w:val="Odstavecseseznamem"/>
        <w:autoSpaceDE w:val="0"/>
        <w:autoSpaceDN w:val="0"/>
        <w:adjustRightInd w:val="0"/>
        <w:ind w:left="0"/>
        <w:rPr>
          <w:rFonts w:ascii="Verdana" w:eastAsia="HiddenHorzOCR" w:hAnsi="Verdana"/>
          <w:b/>
          <w:bCs/>
          <w:color w:val="000000"/>
        </w:rPr>
      </w:pPr>
      <w:r w:rsidRPr="00504AA7">
        <w:rPr>
          <w:rFonts w:ascii="Verdana" w:eastAsia="HiddenHorzOCR" w:hAnsi="Verdana"/>
          <w:b/>
          <w:bCs/>
          <w:color w:val="000000"/>
        </w:rPr>
        <w:t>Příslušenství:</w:t>
      </w:r>
    </w:p>
    <w:p w14:paraId="25FF53E4" w14:textId="20B78335" w:rsidR="00504AA7" w:rsidRPr="00504AA7" w:rsidRDefault="00504AA7" w:rsidP="00AD0B3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eastAsia="HiddenHorzOCR"/>
          <w:color w:val="000000"/>
        </w:rPr>
      </w:pPr>
      <w:r w:rsidRPr="00504AA7">
        <w:rPr>
          <w:rFonts w:eastAsia="HiddenHorzOCR"/>
          <w:color w:val="000000"/>
        </w:rPr>
        <w:t>integrovaný ochranný štít + 2 ks náhradní</w:t>
      </w:r>
    </w:p>
    <w:p w14:paraId="4216DB5E" w14:textId="0AE7EE03" w:rsidR="00B43077" w:rsidRPr="0054167C" w:rsidRDefault="00B43077" w:rsidP="0054167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eastAsia="HiddenHorzOCR"/>
          <w:color w:val="000000"/>
        </w:rPr>
      </w:pPr>
      <w:r>
        <w:rPr>
          <w:rFonts w:eastAsia="HiddenHorzOCR"/>
          <w:color w:val="000000"/>
        </w:rPr>
        <w:t>3</w:t>
      </w:r>
      <w:r w:rsidR="00504AA7" w:rsidRPr="00504AA7">
        <w:rPr>
          <w:rFonts w:eastAsia="HiddenHorzOCR"/>
          <w:color w:val="000000"/>
        </w:rPr>
        <w:t xml:space="preserve"> ks ochranných brýlí pro práci s laserem </w:t>
      </w:r>
    </w:p>
    <w:p w14:paraId="631FFA51" w14:textId="5A66F390" w:rsidR="00B43077" w:rsidRPr="00B43077" w:rsidRDefault="00567699" w:rsidP="00B4307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eastAsia="HiddenHorzOCR"/>
          <w:color w:val="000000"/>
        </w:rPr>
      </w:pPr>
      <w:r>
        <w:rPr>
          <w:rFonts w:eastAsia="HiddenHorzOCR"/>
          <w:color w:val="000000"/>
        </w:rPr>
        <w:t>2</w:t>
      </w:r>
      <w:r w:rsidR="00B43077">
        <w:rPr>
          <w:rFonts w:eastAsia="HiddenHorzOCR"/>
          <w:color w:val="000000"/>
        </w:rPr>
        <w:t>bal</w:t>
      </w:r>
      <w:r w:rsidR="00B43077" w:rsidRPr="00504AA7">
        <w:rPr>
          <w:rFonts w:eastAsia="HiddenHorzOCR"/>
          <w:color w:val="000000"/>
        </w:rPr>
        <w:t xml:space="preserve"> 10x resterilizovatelného vlákna průměru 2</w:t>
      </w:r>
      <w:r w:rsidR="00B43077">
        <w:rPr>
          <w:rFonts w:eastAsia="HiddenHorzOCR"/>
          <w:color w:val="000000"/>
        </w:rPr>
        <w:t>00</w:t>
      </w:r>
      <w:r w:rsidR="00B43077" w:rsidRPr="00504AA7">
        <w:rPr>
          <w:rFonts w:eastAsia="HiddenHorzOCR"/>
          <w:color w:val="000000"/>
        </w:rPr>
        <w:t xml:space="preserve"> µm </w:t>
      </w:r>
      <w:r w:rsidR="00B43077">
        <w:rPr>
          <w:rFonts w:eastAsia="HiddenHorzOCR"/>
          <w:color w:val="000000"/>
        </w:rPr>
        <w:t xml:space="preserve"> (</w:t>
      </w:r>
      <w:r w:rsidR="00F67300">
        <w:rPr>
          <w:rFonts w:eastAsia="HiddenHorzOCR"/>
          <w:color w:val="000000"/>
        </w:rPr>
        <w:t>1</w:t>
      </w:r>
      <w:r w:rsidR="00B43077">
        <w:rPr>
          <w:rFonts w:eastAsia="HiddenHorzOCR"/>
          <w:color w:val="000000"/>
        </w:rPr>
        <w:t>bal/5ks)</w:t>
      </w:r>
    </w:p>
    <w:p w14:paraId="33620C8B" w14:textId="603D9BA2" w:rsidR="00504AA7" w:rsidRPr="00B43077" w:rsidRDefault="00567699" w:rsidP="00B4307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eastAsia="HiddenHorzOCR"/>
          <w:color w:val="000000"/>
        </w:rPr>
      </w:pPr>
      <w:r>
        <w:rPr>
          <w:rFonts w:eastAsia="HiddenHorzOCR"/>
          <w:color w:val="000000"/>
        </w:rPr>
        <w:t>3</w:t>
      </w:r>
      <w:r w:rsidR="00B43077">
        <w:rPr>
          <w:rFonts w:eastAsia="HiddenHorzOCR"/>
          <w:color w:val="000000"/>
        </w:rPr>
        <w:t>bal</w:t>
      </w:r>
      <w:r w:rsidR="00504AA7" w:rsidRPr="00504AA7">
        <w:rPr>
          <w:rFonts w:eastAsia="HiddenHorzOCR"/>
          <w:color w:val="000000"/>
        </w:rPr>
        <w:t xml:space="preserve"> 10x resterilizovatelného vlákna průměru 272 µm </w:t>
      </w:r>
      <w:r w:rsidR="00B43077">
        <w:rPr>
          <w:rFonts w:eastAsia="HiddenHorzOCR"/>
          <w:color w:val="000000"/>
        </w:rPr>
        <w:t xml:space="preserve"> (</w:t>
      </w:r>
      <w:r w:rsidR="00F67300">
        <w:rPr>
          <w:rFonts w:eastAsia="HiddenHorzOCR"/>
          <w:color w:val="000000"/>
        </w:rPr>
        <w:t>1</w:t>
      </w:r>
      <w:r w:rsidR="00B43077">
        <w:rPr>
          <w:rFonts w:eastAsia="HiddenHorzOCR"/>
          <w:color w:val="000000"/>
        </w:rPr>
        <w:t>bal/5ks)</w:t>
      </w:r>
    </w:p>
    <w:p w14:paraId="5387FBA6" w14:textId="2FAC975F" w:rsidR="00504AA7" w:rsidRPr="00B43077" w:rsidRDefault="00567699" w:rsidP="00B4307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eastAsia="HiddenHorzOCR"/>
          <w:color w:val="000000"/>
        </w:rPr>
      </w:pPr>
      <w:r>
        <w:rPr>
          <w:rFonts w:eastAsia="HiddenHorzOCR"/>
          <w:color w:val="000000"/>
        </w:rPr>
        <w:t>2</w:t>
      </w:r>
      <w:r w:rsidR="00B43077">
        <w:rPr>
          <w:rFonts w:eastAsia="HiddenHorzOCR"/>
          <w:color w:val="000000"/>
        </w:rPr>
        <w:t>bal</w:t>
      </w:r>
      <w:r w:rsidR="00504AA7" w:rsidRPr="00504AA7">
        <w:rPr>
          <w:rFonts w:eastAsia="HiddenHorzOCR"/>
          <w:color w:val="000000"/>
        </w:rPr>
        <w:t xml:space="preserve"> 10x resterilizovatelného vlákna průměru 365 µm</w:t>
      </w:r>
      <w:r w:rsidR="00B43077">
        <w:rPr>
          <w:rFonts w:eastAsia="HiddenHorzOCR"/>
          <w:color w:val="000000"/>
        </w:rPr>
        <w:t xml:space="preserve">  (</w:t>
      </w:r>
      <w:r w:rsidR="00F67300">
        <w:rPr>
          <w:rFonts w:eastAsia="HiddenHorzOCR"/>
          <w:color w:val="000000"/>
        </w:rPr>
        <w:t>1</w:t>
      </w:r>
      <w:r w:rsidR="00B43077">
        <w:rPr>
          <w:rFonts w:eastAsia="HiddenHorzOCR"/>
          <w:color w:val="000000"/>
        </w:rPr>
        <w:t>bal/5ks)</w:t>
      </w:r>
    </w:p>
    <w:p w14:paraId="22CDF044" w14:textId="584DFBA7" w:rsidR="00504AA7" w:rsidRPr="00504AA7" w:rsidRDefault="00504AA7" w:rsidP="00AD0B3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eastAsia="HiddenHorzOCR"/>
          <w:color w:val="000000"/>
        </w:rPr>
      </w:pPr>
      <w:r w:rsidRPr="00504AA7">
        <w:rPr>
          <w:rFonts w:eastAsia="HiddenHorzOCR"/>
          <w:color w:val="000000"/>
        </w:rPr>
        <w:t>odizolátor na tato vlákna</w:t>
      </w:r>
    </w:p>
    <w:p w14:paraId="518715D4" w14:textId="42BC2B3B" w:rsidR="00504AA7" w:rsidRDefault="00504AA7" w:rsidP="00AD0B3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eastAsia="HiddenHorzOCR"/>
          <w:color w:val="000000"/>
        </w:rPr>
      </w:pPr>
      <w:r w:rsidRPr="00504AA7">
        <w:rPr>
          <w:rFonts w:eastAsia="HiddenHorzOCR"/>
          <w:color w:val="000000"/>
        </w:rPr>
        <w:t>nástroj na řez vlákna</w:t>
      </w:r>
    </w:p>
    <w:p w14:paraId="47D3500C" w14:textId="77777777" w:rsidR="00AD0B3C" w:rsidRPr="00504AA7" w:rsidRDefault="00AD0B3C" w:rsidP="00AD0B3C">
      <w:pPr>
        <w:pStyle w:val="Odstavecseseznamem"/>
        <w:autoSpaceDE w:val="0"/>
        <w:autoSpaceDN w:val="0"/>
        <w:adjustRightInd w:val="0"/>
        <w:rPr>
          <w:rFonts w:eastAsia="HiddenHorzOCR"/>
          <w:color w:val="000000"/>
        </w:rPr>
      </w:pPr>
    </w:p>
    <w:p w14:paraId="465D378A" w14:textId="68304E5B" w:rsidR="00504AA7" w:rsidRDefault="00504AA7" w:rsidP="00504AA7">
      <w:pPr>
        <w:pStyle w:val="Odstavecseseznamem"/>
        <w:autoSpaceDE w:val="0"/>
        <w:autoSpaceDN w:val="0"/>
        <w:adjustRightInd w:val="0"/>
        <w:ind w:left="426"/>
        <w:rPr>
          <w:rFonts w:eastAsia="HiddenHorzOCR"/>
          <w:color w:val="000000"/>
        </w:rPr>
      </w:pPr>
    </w:p>
    <w:p w14:paraId="203ADE4A" w14:textId="0D6E7F93" w:rsidR="002B3A1D" w:rsidRDefault="002B3A1D" w:rsidP="00504AA7">
      <w:pPr>
        <w:pStyle w:val="Odstavecseseznamem"/>
        <w:autoSpaceDE w:val="0"/>
        <w:autoSpaceDN w:val="0"/>
        <w:adjustRightInd w:val="0"/>
        <w:ind w:left="426"/>
        <w:rPr>
          <w:rFonts w:eastAsia="HiddenHorzOCR"/>
          <w:color w:val="000000"/>
        </w:rPr>
      </w:pPr>
    </w:p>
    <w:p w14:paraId="6320D0D7" w14:textId="77777777" w:rsidR="002B3A1D" w:rsidRPr="00504AA7" w:rsidRDefault="002B3A1D" w:rsidP="00504AA7">
      <w:pPr>
        <w:pStyle w:val="Odstavecseseznamem"/>
        <w:autoSpaceDE w:val="0"/>
        <w:autoSpaceDN w:val="0"/>
        <w:adjustRightInd w:val="0"/>
        <w:ind w:left="426"/>
        <w:rPr>
          <w:rFonts w:eastAsia="HiddenHorzOCR"/>
          <w:color w:val="000000"/>
        </w:rPr>
      </w:pPr>
    </w:p>
    <w:p w14:paraId="01287497" w14:textId="546FA161" w:rsidR="00504AA7" w:rsidRPr="00504AA7" w:rsidRDefault="00504AA7" w:rsidP="00504AA7">
      <w:pPr>
        <w:pStyle w:val="Odstavecseseznamem"/>
        <w:autoSpaceDE w:val="0"/>
        <w:autoSpaceDN w:val="0"/>
        <w:adjustRightInd w:val="0"/>
        <w:ind w:left="0"/>
        <w:rPr>
          <w:rFonts w:ascii="Verdana" w:eastAsia="HiddenHorzOCR" w:hAnsi="Verdana"/>
          <w:b/>
          <w:bCs/>
          <w:color w:val="000000"/>
        </w:rPr>
      </w:pPr>
      <w:r w:rsidRPr="00504AA7">
        <w:rPr>
          <w:rFonts w:ascii="Verdana" w:eastAsia="HiddenHorzOCR" w:hAnsi="Verdana"/>
          <w:b/>
          <w:bCs/>
          <w:color w:val="000000"/>
        </w:rPr>
        <w:t>Jiné požadavky:</w:t>
      </w:r>
    </w:p>
    <w:p w14:paraId="080D74F7" w14:textId="77777777" w:rsidR="00504AA7" w:rsidRPr="00504AA7" w:rsidRDefault="00504AA7" w:rsidP="00504AA7">
      <w:pPr>
        <w:pStyle w:val="Odstavecseseznamem"/>
        <w:autoSpaceDE w:val="0"/>
        <w:autoSpaceDN w:val="0"/>
        <w:adjustRightInd w:val="0"/>
        <w:ind w:left="0"/>
        <w:rPr>
          <w:rFonts w:eastAsia="HiddenHorzOCR"/>
          <w:color w:val="000000"/>
        </w:rPr>
      </w:pPr>
      <w:r w:rsidRPr="00504AA7">
        <w:rPr>
          <w:rFonts w:eastAsia="HiddenHorzOCR"/>
          <w:color w:val="000000"/>
        </w:rPr>
        <w:t>Mobilní provedeni s kolečky pro možnost transportu, madla pro převoz, minimálně 2 kolečka bržděná</w:t>
      </w:r>
    </w:p>
    <w:p w14:paraId="074CCC60" w14:textId="77777777" w:rsidR="00504AA7" w:rsidRPr="00504AA7" w:rsidRDefault="00504AA7" w:rsidP="00504AA7">
      <w:pPr>
        <w:rPr>
          <w:color w:val="000000"/>
        </w:rPr>
      </w:pPr>
    </w:p>
    <w:p w14:paraId="331A536A" w14:textId="13FEDB42" w:rsidR="00504AA7" w:rsidRDefault="00504AA7" w:rsidP="00A77739">
      <w:pPr>
        <w:tabs>
          <w:tab w:val="left" w:pos="710"/>
          <w:tab w:val="left" w:pos="1420"/>
          <w:tab w:val="left" w:pos="5680"/>
          <w:tab w:val="left" w:pos="6532"/>
          <w:tab w:val="left" w:pos="7797"/>
          <w:tab w:val="left" w:pos="8378"/>
          <w:tab w:val="left" w:pos="8931"/>
        </w:tabs>
        <w:suppressAutoHyphens w:val="0"/>
        <w:ind w:left="720"/>
        <w:jc w:val="both"/>
        <w:rPr>
          <w:rFonts w:ascii="Verdana" w:hAnsi="Verdana" w:cs="Verdana"/>
          <w:sz w:val="22"/>
          <w:szCs w:val="22"/>
        </w:rPr>
      </w:pPr>
    </w:p>
    <w:p w14:paraId="332E2CF9" w14:textId="21BDD5CA" w:rsidR="00504AA7" w:rsidRDefault="00504AA7" w:rsidP="00A77739">
      <w:pPr>
        <w:tabs>
          <w:tab w:val="left" w:pos="710"/>
          <w:tab w:val="left" w:pos="1420"/>
          <w:tab w:val="left" w:pos="5680"/>
          <w:tab w:val="left" w:pos="6532"/>
          <w:tab w:val="left" w:pos="7797"/>
          <w:tab w:val="left" w:pos="8378"/>
          <w:tab w:val="left" w:pos="8931"/>
        </w:tabs>
        <w:suppressAutoHyphens w:val="0"/>
        <w:ind w:left="720"/>
        <w:jc w:val="both"/>
        <w:rPr>
          <w:rFonts w:ascii="Verdana" w:hAnsi="Verdana" w:cs="Verdana"/>
          <w:sz w:val="22"/>
          <w:szCs w:val="22"/>
        </w:rPr>
      </w:pPr>
    </w:p>
    <w:p w14:paraId="0ABF780F" w14:textId="6E6D8A79" w:rsidR="002B3A1D" w:rsidRDefault="002B3A1D" w:rsidP="00A77739">
      <w:pPr>
        <w:tabs>
          <w:tab w:val="left" w:pos="710"/>
          <w:tab w:val="left" w:pos="1420"/>
          <w:tab w:val="left" w:pos="5680"/>
          <w:tab w:val="left" w:pos="6532"/>
          <w:tab w:val="left" w:pos="7797"/>
          <w:tab w:val="left" w:pos="8378"/>
          <w:tab w:val="left" w:pos="8931"/>
        </w:tabs>
        <w:suppressAutoHyphens w:val="0"/>
        <w:ind w:left="720"/>
        <w:jc w:val="both"/>
        <w:rPr>
          <w:rFonts w:ascii="Verdana" w:hAnsi="Verdana" w:cs="Verdana"/>
          <w:sz w:val="22"/>
          <w:szCs w:val="22"/>
        </w:rPr>
      </w:pPr>
    </w:p>
    <w:p w14:paraId="7B66388B" w14:textId="1B941E9D" w:rsidR="002B3A1D" w:rsidRDefault="002B3A1D" w:rsidP="00A77739">
      <w:pPr>
        <w:tabs>
          <w:tab w:val="left" w:pos="710"/>
          <w:tab w:val="left" w:pos="1420"/>
          <w:tab w:val="left" w:pos="5680"/>
          <w:tab w:val="left" w:pos="6532"/>
          <w:tab w:val="left" w:pos="7797"/>
          <w:tab w:val="left" w:pos="8378"/>
          <w:tab w:val="left" w:pos="8931"/>
        </w:tabs>
        <w:suppressAutoHyphens w:val="0"/>
        <w:ind w:left="720"/>
        <w:jc w:val="both"/>
        <w:rPr>
          <w:rFonts w:ascii="Verdana" w:hAnsi="Verdana" w:cs="Verdana"/>
          <w:sz w:val="22"/>
          <w:szCs w:val="22"/>
        </w:rPr>
      </w:pPr>
    </w:p>
    <w:p w14:paraId="1C673917" w14:textId="3F05E8D8" w:rsidR="002B3A1D" w:rsidRDefault="002B3A1D" w:rsidP="00A77739">
      <w:pPr>
        <w:tabs>
          <w:tab w:val="left" w:pos="710"/>
          <w:tab w:val="left" w:pos="1420"/>
          <w:tab w:val="left" w:pos="5680"/>
          <w:tab w:val="left" w:pos="6532"/>
          <w:tab w:val="left" w:pos="7797"/>
          <w:tab w:val="left" w:pos="8378"/>
          <w:tab w:val="left" w:pos="8931"/>
        </w:tabs>
        <w:suppressAutoHyphens w:val="0"/>
        <w:ind w:left="720"/>
        <w:jc w:val="both"/>
        <w:rPr>
          <w:rFonts w:ascii="Verdana" w:hAnsi="Verdana" w:cs="Verdana"/>
          <w:sz w:val="22"/>
          <w:szCs w:val="22"/>
        </w:rPr>
      </w:pPr>
    </w:p>
    <w:p w14:paraId="60C276DD" w14:textId="1F56F8AB" w:rsidR="002B3A1D" w:rsidRDefault="002B3A1D" w:rsidP="00A77739">
      <w:pPr>
        <w:tabs>
          <w:tab w:val="left" w:pos="710"/>
          <w:tab w:val="left" w:pos="1420"/>
          <w:tab w:val="left" w:pos="5680"/>
          <w:tab w:val="left" w:pos="6532"/>
          <w:tab w:val="left" w:pos="7797"/>
          <w:tab w:val="left" w:pos="8378"/>
          <w:tab w:val="left" w:pos="8931"/>
        </w:tabs>
        <w:suppressAutoHyphens w:val="0"/>
        <w:ind w:left="720"/>
        <w:jc w:val="both"/>
        <w:rPr>
          <w:rFonts w:ascii="Verdana" w:hAnsi="Verdana" w:cs="Verdana"/>
          <w:sz w:val="22"/>
          <w:szCs w:val="22"/>
        </w:rPr>
      </w:pPr>
    </w:p>
    <w:p w14:paraId="668E7FAD" w14:textId="03C4FB99" w:rsidR="002B3A1D" w:rsidRDefault="002B3A1D" w:rsidP="00A77739">
      <w:pPr>
        <w:tabs>
          <w:tab w:val="left" w:pos="710"/>
          <w:tab w:val="left" w:pos="1420"/>
          <w:tab w:val="left" w:pos="5680"/>
          <w:tab w:val="left" w:pos="6532"/>
          <w:tab w:val="left" w:pos="7797"/>
          <w:tab w:val="left" w:pos="8378"/>
          <w:tab w:val="left" w:pos="8931"/>
        </w:tabs>
        <w:suppressAutoHyphens w:val="0"/>
        <w:ind w:left="720"/>
        <w:jc w:val="both"/>
        <w:rPr>
          <w:rFonts w:ascii="Verdana" w:hAnsi="Verdana" w:cs="Verdana"/>
          <w:sz w:val="22"/>
          <w:szCs w:val="22"/>
        </w:rPr>
      </w:pPr>
    </w:p>
    <w:p w14:paraId="36F4D7B4" w14:textId="6A03D3ED" w:rsidR="002B3A1D" w:rsidRDefault="002B3A1D" w:rsidP="00A77739">
      <w:pPr>
        <w:tabs>
          <w:tab w:val="left" w:pos="710"/>
          <w:tab w:val="left" w:pos="1420"/>
          <w:tab w:val="left" w:pos="5680"/>
          <w:tab w:val="left" w:pos="6532"/>
          <w:tab w:val="left" w:pos="7797"/>
          <w:tab w:val="left" w:pos="8378"/>
          <w:tab w:val="left" w:pos="8931"/>
        </w:tabs>
        <w:suppressAutoHyphens w:val="0"/>
        <w:ind w:left="720"/>
        <w:jc w:val="both"/>
        <w:rPr>
          <w:rFonts w:ascii="Verdana" w:hAnsi="Verdana" w:cs="Verdana"/>
          <w:sz w:val="22"/>
          <w:szCs w:val="22"/>
        </w:rPr>
      </w:pPr>
    </w:p>
    <w:p w14:paraId="2FE62C80" w14:textId="2C45F894" w:rsidR="002B3A1D" w:rsidRDefault="002B3A1D" w:rsidP="00A77739">
      <w:pPr>
        <w:tabs>
          <w:tab w:val="left" w:pos="710"/>
          <w:tab w:val="left" w:pos="1420"/>
          <w:tab w:val="left" w:pos="5680"/>
          <w:tab w:val="left" w:pos="6532"/>
          <w:tab w:val="left" w:pos="7797"/>
          <w:tab w:val="left" w:pos="8378"/>
          <w:tab w:val="left" w:pos="8931"/>
        </w:tabs>
        <w:suppressAutoHyphens w:val="0"/>
        <w:ind w:left="720"/>
        <w:jc w:val="both"/>
        <w:rPr>
          <w:rFonts w:ascii="Verdana" w:hAnsi="Verdana" w:cs="Verdana"/>
          <w:sz w:val="22"/>
          <w:szCs w:val="22"/>
        </w:rPr>
      </w:pPr>
    </w:p>
    <w:p w14:paraId="135E0396" w14:textId="77777777" w:rsidR="002B3A1D" w:rsidRDefault="002B3A1D" w:rsidP="00A77739">
      <w:pPr>
        <w:tabs>
          <w:tab w:val="left" w:pos="710"/>
          <w:tab w:val="left" w:pos="1420"/>
          <w:tab w:val="left" w:pos="5680"/>
          <w:tab w:val="left" w:pos="6532"/>
          <w:tab w:val="left" w:pos="7797"/>
          <w:tab w:val="left" w:pos="8378"/>
          <w:tab w:val="left" w:pos="8931"/>
        </w:tabs>
        <w:suppressAutoHyphens w:val="0"/>
        <w:ind w:left="720"/>
        <w:jc w:val="both"/>
        <w:rPr>
          <w:rFonts w:ascii="Verdana" w:hAnsi="Verdana" w:cs="Verdana"/>
          <w:sz w:val="22"/>
          <w:szCs w:val="22"/>
        </w:rPr>
      </w:pPr>
    </w:p>
    <w:p w14:paraId="7C57A1C0" w14:textId="77777777" w:rsidR="000067FB" w:rsidRPr="000067FB" w:rsidRDefault="000067FB" w:rsidP="000067FB">
      <w:pPr>
        <w:pStyle w:val="NormlnLatinkaCalibri"/>
        <w:spacing w:line="240" w:lineRule="auto"/>
        <w:ind w:left="757" w:firstLine="0"/>
        <w:jc w:val="left"/>
        <w:rPr>
          <w:lang w:val="cs-CZ"/>
        </w:rPr>
      </w:pPr>
    </w:p>
    <w:p w14:paraId="054A9199" w14:textId="77777777" w:rsidR="00957E8A" w:rsidRDefault="00957E8A" w:rsidP="00957E8A">
      <w:pPr>
        <w:pStyle w:val="NormlnLatinkaCalibri"/>
        <w:spacing w:line="240" w:lineRule="auto"/>
        <w:ind w:left="757" w:firstLine="0"/>
        <w:jc w:val="left"/>
        <w:rPr>
          <w:rFonts w:ascii="Verdana" w:hAnsi="Verdana" w:cs="Verdana"/>
          <w:sz w:val="22"/>
          <w:szCs w:val="22"/>
          <w:lang w:val="cs-CZ"/>
        </w:rPr>
      </w:pPr>
    </w:p>
    <w:p w14:paraId="2FF9EFAA" w14:textId="7CF8A8E9" w:rsidR="0005342E" w:rsidRDefault="0005342E" w:rsidP="0005342E">
      <w:pPr>
        <w:autoSpaceDE w:val="0"/>
        <w:jc w:val="both"/>
      </w:pPr>
      <w:r>
        <w:t xml:space="preserve">Dotazy k požadované specifikaci lze zaslat písemně na e-mail: </w:t>
      </w:r>
      <w:hyperlink r:id="rId10" w:history="1">
        <w:r w:rsidRPr="0005342E">
          <w:rPr>
            <w:rStyle w:val="Hypertextovodkaz"/>
            <w:color w:val="auto"/>
          </w:rPr>
          <w:t>brunclikova.katerina@nemkyj.cz</w:t>
        </w:r>
      </w:hyperlink>
      <w:r>
        <w:t>.</w:t>
      </w:r>
    </w:p>
    <w:p w14:paraId="6A74E68E" w14:textId="77777777" w:rsidR="002B3A1D" w:rsidRDefault="002B3A1D" w:rsidP="0005342E">
      <w:pPr>
        <w:autoSpaceDE w:val="0"/>
        <w:jc w:val="both"/>
        <w:rPr>
          <w:rStyle w:val="Hypertextovodkaz"/>
          <w:color w:val="000000"/>
        </w:rPr>
      </w:pPr>
    </w:p>
    <w:p w14:paraId="226C185D" w14:textId="77777777" w:rsidR="0005342E" w:rsidRDefault="0005342E" w:rsidP="0005342E">
      <w:pPr>
        <w:autoSpaceDE w:val="0"/>
        <w:jc w:val="both"/>
      </w:pPr>
      <w:r>
        <w:t>Odpovědi budou zveřejněny přes elektronický nástroj E-ZAK</w:t>
      </w:r>
    </w:p>
    <w:p w14:paraId="18C0418C" w14:textId="29EACE52" w:rsidR="009A63BF" w:rsidRPr="000067FB" w:rsidRDefault="009A63BF" w:rsidP="0005342E">
      <w:pPr>
        <w:autoSpaceDE w:val="0"/>
        <w:jc w:val="both"/>
      </w:pPr>
    </w:p>
    <w:sectPr w:rsidR="009A63BF" w:rsidRPr="000067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B4742" w14:textId="77777777" w:rsidR="00BD3780" w:rsidRDefault="00BD3780">
      <w:r>
        <w:separator/>
      </w:r>
    </w:p>
  </w:endnote>
  <w:endnote w:type="continuationSeparator" w:id="0">
    <w:p w14:paraId="0AD0BB31" w14:textId="77777777" w:rsidR="00BD3780" w:rsidRDefault="00BD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6847" w14:textId="77777777" w:rsidR="008C3BF7" w:rsidRDefault="008C3B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EF63" w14:textId="77777777" w:rsidR="009A63BF" w:rsidRDefault="009A63BF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56CAA4C" w14:textId="77777777" w:rsidR="009A63BF" w:rsidRDefault="009A63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E84A" w14:textId="77777777" w:rsidR="008C3BF7" w:rsidRDefault="008C3B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22D9" w14:textId="77777777" w:rsidR="00BD3780" w:rsidRDefault="00BD3780">
      <w:r>
        <w:separator/>
      </w:r>
    </w:p>
  </w:footnote>
  <w:footnote w:type="continuationSeparator" w:id="0">
    <w:p w14:paraId="28FFBCF2" w14:textId="77777777" w:rsidR="00BD3780" w:rsidRDefault="00BD3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7588" w14:textId="77777777" w:rsidR="008C3BF7" w:rsidRDefault="008C3B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6108" w14:textId="77777777" w:rsidR="008C3BF7" w:rsidRDefault="008C3BF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93F6" w14:textId="28116C8F" w:rsidR="00C46155" w:rsidRPr="00504AA7" w:rsidRDefault="00C46155" w:rsidP="00C46155">
    <w:pPr>
      <w:pStyle w:val="Bezmezer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</w:rPr>
      <w:t>Příloha č. 1 zadávací dokumentace</w:t>
    </w:r>
  </w:p>
  <w:p w14:paraId="55ECA843" w14:textId="06AE2BA6" w:rsidR="009A63BF" w:rsidRDefault="00862902">
    <w:pPr>
      <w:pStyle w:val="Nadpis"/>
      <w:ind w:left="708" w:firstLine="708"/>
      <w:jc w:val="left"/>
      <w:rPr>
        <w:rFonts w:ascii="Arial" w:hAnsi="Arial" w:cs="Arial"/>
        <w:color w:val="0094AB"/>
        <w:sz w:val="17"/>
        <w:szCs w:val="17"/>
        <w:u w:val="none"/>
      </w:rPr>
    </w:pPr>
    <w:r>
      <w:rPr>
        <w:color w:val="008000"/>
        <w:u w:val="none"/>
      </w:rPr>
      <w:t xml:space="preserve"> </w:t>
    </w:r>
    <w:r w:rsidR="00504AA7">
      <w:rPr>
        <w:color w:val="008000"/>
        <w:u w:val="none"/>
      </w:rPr>
      <w:t xml:space="preserve"> </w:t>
    </w:r>
    <w:r w:rsidR="0086138A">
      <w:rPr>
        <w:noProof/>
        <w:color w:val="008000"/>
        <w:u w:val="none"/>
      </w:rPr>
      <w:drawing>
        <wp:inline distT="0" distB="0" distL="0" distR="0" wp14:anchorId="1F78BA0F" wp14:editId="7D4978DA">
          <wp:extent cx="3476625" cy="552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2FFF6BE" w14:textId="77777777" w:rsidR="009A63BF" w:rsidRDefault="009A63BF">
    <w:pPr>
      <w:pStyle w:val="Nadpis"/>
      <w:ind w:left="708" w:firstLine="708"/>
      <w:jc w:val="left"/>
    </w:pPr>
    <w:r>
      <w:rPr>
        <w:rFonts w:ascii="Arial" w:hAnsi="Arial" w:cs="Arial"/>
        <w:color w:val="0094AB"/>
        <w:sz w:val="17"/>
        <w:szCs w:val="17"/>
        <w:u w:val="none"/>
      </w:rPr>
      <w:t xml:space="preserve">Nemocnice Kyjov, příspěvková organizace, Strážovská 1247, 697 </w:t>
    </w:r>
    <w:r w:rsidR="00B25EE4">
      <w:rPr>
        <w:rFonts w:ascii="Arial" w:hAnsi="Arial" w:cs="Arial"/>
        <w:color w:val="0094AB"/>
        <w:sz w:val="17"/>
        <w:szCs w:val="17"/>
        <w:u w:val="none"/>
      </w:rPr>
      <w:t>01</w:t>
    </w:r>
    <w:r>
      <w:rPr>
        <w:rFonts w:ascii="Arial" w:hAnsi="Arial" w:cs="Arial"/>
        <w:color w:val="0094AB"/>
        <w:sz w:val="17"/>
        <w:szCs w:val="17"/>
        <w:u w:val="none"/>
      </w:rPr>
      <w:t xml:space="preserve"> Kyjov</w:t>
    </w:r>
  </w:p>
  <w:p w14:paraId="60A9C025" w14:textId="77777777" w:rsidR="009A63BF" w:rsidRDefault="009A63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pStyle w:val="Nadpis11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odrky"/>
      <w:lvlText w:val="▪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OpenSymbol"/>
        <w:sz w:val="22"/>
        <w:szCs w:val="22"/>
        <w:lang w:val="cs-CZ" w:eastAsia="zh-CN"/>
      </w:rPr>
    </w:lvl>
    <w:lvl w:ilvl="1">
      <w:start w:val="1"/>
      <w:numFmt w:val="bullet"/>
      <w:lvlText w:val="◦"/>
      <w:lvlJc w:val="left"/>
      <w:pPr>
        <w:tabs>
          <w:tab w:val="num" w:pos="1117"/>
        </w:tabs>
        <w:ind w:left="111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cs="OpenSymbol"/>
        <w:sz w:val="22"/>
        <w:szCs w:val="22"/>
        <w:lang w:val="cs-CZ" w:eastAsia="zh-CN"/>
      </w:rPr>
    </w:lvl>
    <w:lvl w:ilvl="4">
      <w:start w:val="1"/>
      <w:numFmt w:val="bullet"/>
      <w:lvlText w:val="◦"/>
      <w:lvlJc w:val="left"/>
      <w:pPr>
        <w:tabs>
          <w:tab w:val="num" w:pos="2197"/>
        </w:tabs>
        <w:ind w:left="21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OpenSymbol"/>
        <w:sz w:val="22"/>
        <w:szCs w:val="22"/>
        <w:lang w:val="cs-CZ" w:eastAsia="zh-CN"/>
      </w:rPr>
    </w:lvl>
    <w:lvl w:ilvl="7">
      <w:start w:val="1"/>
      <w:numFmt w:val="bullet"/>
      <w:lvlText w:val="◦"/>
      <w:lvlJc w:val="left"/>
      <w:pPr>
        <w:tabs>
          <w:tab w:val="num" w:pos="3277"/>
        </w:tabs>
        <w:ind w:left="32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17"/>
        </w:tabs>
        <w:ind w:left="111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97"/>
        </w:tabs>
        <w:ind w:left="21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77"/>
        </w:tabs>
        <w:ind w:left="32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17"/>
        </w:tabs>
        <w:ind w:left="111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97"/>
        </w:tabs>
        <w:ind w:left="21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77"/>
        </w:tabs>
        <w:ind w:left="32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</w:abstractNum>
  <w:abstractNum w:abstractNumId="6" w15:restartNumberingAfterBreak="0">
    <w:nsid w:val="12975394"/>
    <w:multiLevelType w:val="hybridMultilevel"/>
    <w:tmpl w:val="2E922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770BC"/>
    <w:multiLevelType w:val="hybridMultilevel"/>
    <w:tmpl w:val="41B05C1C"/>
    <w:lvl w:ilvl="0" w:tplc="0292D84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80C42"/>
    <w:multiLevelType w:val="hybridMultilevel"/>
    <w:tmpl w:val="FE6AC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6197E"/>
    <w:multiLevelType w:val="hybridMultilevel"/>
    <w:tmpl w:val="A426D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A3A2C"/>
    <w:multiLevelType w:val="hybridMultilevel"/>
    <w:tmpl w:val="CA3030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5A5883"/>
    <w:multiLevelType w:val="multilevel"/>
    <w:tmpl w:val="3D181AD8"/>
    <w:lvl w:ilvl="0">
      <w:start w:val="1"/>
      <w:numFmt w:val="bullet"/>
      <w:lvlText w:val=""/>
      <w:lvlJc w:val="left"/>
      <w:rPr>
        <w:rFonts w:ascii="Symbol" w:hAnsi="Symbol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2F2F2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2F2F2F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2F2F2F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2F2F2F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2F2F2F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2F2F2F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2F2F2F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2F2F2F"/>
      </w:rPr>
    </w:lvl>
  </w:abstractNum>
  <w:abstractNum w:abstractNumId="12" w15:restartNumberingAfterBreak="0">
    <w:nsid w:val="5B4646EC"/>
    <w:multiLevelType w:val="multilevel"/>
    <w:tmpl w:val="3D181AD8"/>
    <w:lvl w:ilvl="0">
      <w:start w:val="1"/>
      <w:numFmt w:val="bullet"/>
      <w:lvlText w:val=""/>
      <w:lvlJc w:val="left"/>
      <w:rPr>
        <w:rFonts w:ascii="Symbol" w:hAnsi="Symbol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2F2F2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2F2F2F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2F2F2F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2F2F2F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2F2F2F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2F2F2F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2F2F2F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2F2F2F"/>
      </w:rPr>
    </w:lvl>
  </w:abstractNum>
  <w:abstractNum w:abstractNumId="13" w15:restartNumberingAfterBreak="0">
    <w:nsid w:val="5C75361A"/>
    <w:multiLevelType w:val="hybridMultilevel"/>
    <w:tmpl w:val="FB64EF98"/>
    <w:lvl w:ilvl="0" w:tplc="0292D84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B4103"/>
    <w:multiLevelType w:val="multilevel"/>
    <w:tmpl w:val="3D181AD8"/>
    <w:lvl w:ilvl="0">
      <w:start w:val="1"/>
      <w:numFmt w:val="bullet"/>
      <w:lvlText w:val=""/>
      <w:lvlJc w:val="left"/>
      <w:rPr>
        <w:rFonts w:ascii="Symbol" w:hAnsi="Symbol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2F2F2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2F2F2F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2F2F2F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2F2F2F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2F2F2F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2F2F2F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2F2F2F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2F2F2F"/>
      </w:rPr>
    </w:lvl>
  </w:abstractNum>
  <w:abstractNum w:abstractNumId="15" w15:restartNumberingAfterBreak="0">
    <w:nsid w:val="63E75A15"/>
    <w:multiLevelType w:val="multilevel"/>
    <w:tmpl w:val="3D181AD8"/>
    <w:lvl w:ilvl="0">
      <w:start w:val="1"/>
      <w:numFmt w:val="bullet"/>
      <w:lvlText w:val=""/>
      <w:lvlJc w:val="left"/>
      <w:rPr>
        <w:rFonts w:ascii="Symbol" w:hAnsi="Symbol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2F2F2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2F2F2F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2F2F2F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2F2F2F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2F2F2F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2F2F2F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2F2F2F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2F2F2F"/>
      </w:rPr>
    </w:lvl>
  </w:abstractNum>
  <w:abstractNum w:abstractNumId="16" w15:restartNumberingAfterBreak="0">
    <w:nsid w:val="6B0D1B20"/>
    <w:multiLevelType w:val="hybridMultilevel"/>
    <w:tmpl w:val="F1887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44317"/>
    <w:multiLevelType w:val="hybridMultilevel"/>
    <w:tmpl w:val="E6340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514058">
    <w:abstractNumId w:val="0"/>
  </w:num>
  <w:num w:numId="2" w16cid:durableId="370691932">
    <w:abstractNumId w:val="1"/>
  </w:num>
  <w:num w:numId="3" w16cid:durableId="1815176225">
    <w:abstractNumId w:val="2"/>
  </w:num>
  <w:num w:numId="4" w16cid:durableId="1958098259">
    <w:abstractNumId w:val="3"/>
  </w:num>
  <w:num w:numId="5" w16cid:durableId="135802190">
    <w:abstractNumId w:val="4"/>
  </w:num>
  <w:num w:numId="6" w16cid:durableId="1613317668">
    <w:abstractNumId w:val="5"/>
  </w:num>
  <w:num w:numId="7" w16cid:durableId="2026127204">
    <w:abstractNumId w:val="8"/>
  </w:num>
  <w:num w:numId="8" w16cid:durableId="1651061967">
    <w:abstractNumId w:val="16"/>
  </w:num>
  <w:num w:numId="9" w16cid:durableId="525797740">
    <w:abstractNumId w:val="7"/>
  </w:num>
  <w:num w:numId="10" w16cid:durableId="1096904625">
    <w:abstractNumId w:val="13"/>
  </w:num>
  <w:num w:numId="11" w16cid:durableId="988747898">
    <w:abstractNumId w:val="7"/>
  </w:num>
  <w:num w:numId="12" w16cid:durableId="1534689188">
    <w:abstractNumId w:val="6"/>
  </w:num>
  <w:num w:numId="13" w16cid:durableId="1770850517">
    <w:abstractNumId w:val="10"/>
  </w:num>
  <w:num w:numId="14" w16cid:durableId="544559221">
    <w:abstractNumId w:val="9"/>
  </w:num>
  <w:num w:numId="15" w16cid:durableId="1656832114">
    <w:abstractNumId w:val="14"/>
  </w:num>
  <w:num w:numId="16" w16cid:durableId="1211307313">
    <w:abstractNumId w:val="15"/>
  </w:num>
  <w:num w:numId="17" w16cid:durableId="1084112378">
    <w:abstractNumId w:val="11"/>
  </w:num>
  <w:num w:numId="18" w16cid:durableId="991298185">
    <w:abstractNumId w:val="12"/>
  </w:num>
  <w:num w:numId="19" w16cid:durableId="5318399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43"/>
    <w:rsid w:val="000067FB"/>
    <w:rsid w:val="00027593"/>
    <w:rsid w:val="0005342E"/>
    <w:rsid w:val="00087F85"/>
    <w:rsid w:val="000E0E2A"/>
    <w:rsid w:val="00150603"/>
    <w:rsid w:val="00162343"/>
    <w:rsid w:val="00200117"/>
    <w:rsid w:val="00203943"/>
    <w:rsid w:val="00267883"/>
    <w:rsid w:val="002B3A1D"/>
    <w:rsid w:val="00370F51"/>
    <w:rsid w:val="003B6E12"/>
    <w:rsid w:val="00504AA7"/>
    <w:rsid w:val="0054167C"/>
    <w:rsid w:val="00567699"/>
    <w:rsid w:val="00632ED3"/>
    <w:rsid w:val="00682ED4"/>
    <w:rsid w:val="00731E3C"/>
    <w:rsid w:val="007377ED"/>
    <w:rsid w:val="00757194"/>
    <w:rsid w:val="007C6CCD"/>
    <w:rsid w:val="00811C4E"/>
    <w:rsid w:val="0086138A"/>
    <w:rsid w:val="00862902"/>
    <w:rsid w:val="008B12B0"/>
    <w:rsid w:val="008C3BF7"/>
    <w:rsid w:val="009376E9"/>
    <w:rsid w:val="009509AE"/>
    <w:rsid w:val="00957E8A"/>
    <w:rsid w:val="00964740"/>
    <w:rsid w:val="009721CB"/>
    <w:rsid w:val="009A63BF"/>
    <w:rsid w:val="00A77739"/>
    <w:rsid w:val="00AC19C7"/>
    <w:rsid w:val="00AD0B3C"/>
    <w:rsid w:val="00B25EE4"/>
    <w:rsid w:val="00B43077"/>
    <w:rsid w:val="00BD3780"/>
    <w:rsid w:val="00C028B9"/>
    <w:rsid w:val="00C15284"/>
    <w:rsid w:val="00C201BE"/>
    <w:rsid w:val="00C46155"/>
    <w:rsid w:val="00C64ECD"/>
    <w:rsid w:val="00CC44CF"/>
    <w:rsid w:val="00CC6DF3"/>
    <w:rsid w:val="00DA585E"/>
    <w:rsid w:val="00DD13CB"/>
    <w:rsid w:val="00E01230"/>
    <w:rsid w:val="00EE53E8"/>
    <w:rsid w:val="00EF0790"/>
    <w:rsid w:val="00F67300"/>
    <w:rsid w:val="00FA2DD0"/>
    <w:rsid w:val="00FC39BD"/>
    <w:rsid w:val="00FE079A"/>
    <w:rsid w:val="00F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77A063"/>
  <w15:chartTrackingRefBased/>
  <w15:docId w15:val="{CCFFF66F-F558-4F67-8B04-36157F16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eastAsia="Times New Roman" w:hAnsi="Bookman Old Style" w:cs="Times New Roman"/>
    </w:rPr>
  </w:style>
  <w:style w:type="character" w:customStyle="1" w:styleId="WW8Num2z0">
    <w:name w:val="WW8Num2z0"/>
    <w:rPr>
      <w:rFonts w:ascii="Arial" w:hAnsi="Arial" w:cs="Arial" w:hint="default"/>
    </w:rPr>
  </w:style>
  <w:style w:type="character" w:customStyle="1" w:styleId="WW8Num3z0">
    <w:name w:val="WW8Num3z0"/>
    <w:rPr>
      <w:rFonts w:ascii="Symbol" w:hAnsi="Symbol" w:cs="OpenSymbol"/>
      <w:sz w:val="22"/>
      <w:szCs w:val="22"/>
      <w:lang w:val="cs-CZ" w:eastAsia="zh-CN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Bookman Old Style" w:eastAsia="Times New Roman" w:hAnsi="Bookman Old Style" w:cs="Times New Roman"/>
    </w:rPr>
  </w:style>
  <w:style w:type="character" w:customStyle="1" w:styleId="Standardnpsmoodstavce2">
    <w:name w:val="Standardní písmo odstavce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Verdana" w:hAnsi="Verdana" w:cs="Verdana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Bookman Old Style" w:eastAsia="Times New Roman" w:hAnsi="Bookman Old Style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Bookman Old Style" w:eastAsia="Times New Roman" w:hAnsi="Bookman Old Style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Verdana" w:eastAsia="Times New Roman" w:hAnsi="Verdana"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Bookman Old Style" w:eastAsia="Times New Roman" w:hAnsi="Bookman Old Style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Bookman Old Style" w:eastAsia="Times New Roman" w:hAnsi="Bookman Old Style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strike w:val="0"/>
      <w:dstrike w:val="0"/>
      <w:color w:val="1B62B7"/>
      <w:u w:val="none"/>
    </w:rPr>
  </w:style>
  <w:style w:type="character" w:styleId="Siln">
    <w:name w:val="Strong"/>
    <w:qFormat/>
    <w:rPr>
      <w:b/>
      <w:bCs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ListLabel10">
    <w:name w:val="ListLabel 10"/>
    <w:rPr>
      <w:rFonts w:cs="Calibri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jc w:val="center"/>
    </w:pPr>
    <w:rPr>
      <w:rFonts w:ascii="Bookman Old Style" w:hAnsi="Bookman Old Style" w:cs="Bookman Old Style"/>
      <w:b/>
      <w:bCs/>
      <w:sz w:val="36"/>
      <w:u w:val="single"/>
    </w:rPr>
  </w:style>
  <w:style w:type="paragraph" w:styleId="Zkladntext">
    <w:name w:val="Body Text"/>
    <w:basedOn w:val="Normln"/>
    <w:pPr>
      <w:jc w:val="both"/>
    </w:pPr>
    <w:rPr>
      <w:rFonts w:ascii="Bookman Old Style" w:hAnsi="Bookman Old Style" w:cs="Bookman Old Style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2odrky">
    <w:name w:val="(2) odrážky"/>
    <w:pPr>
      <w:numPr>
        <w:numId w:val="2"/>
      </w:numPr>
      <w:tabs>
        <w:tab w:val="clear" w:pos="717"/>
        <w:tab w:val="left" w:pos="720"/>
        <w:tab w:val="right" w:leader="dot" w:pos="9354"/>
      </w:tabs>
      <w:suppressAutoHyphens/>
      <w:spacing w:before="60"/>
      <w:ind w:left="720" w:firstLine="0"/>
    </w:pPr>
    <w:rPr>
      <w:sz w:val="24"/>
      <w:szCs w:val="24"/>
      <w:lang w:eastAsia="zh-CN"/>
    </w:rPr>
  </w:style>
  <w:style w:type="paragraph" w:customStyle="1" w:styleId="Zkladntext21">
    <w:name w:val="Základní text 21"/>
    <w:basedOn w:val="Normln"/>
    <w:rPr>
      <w:rFonts w:ascii="Bookman Old Style" w:hAnsi="Bookman Old Style" w:cs="Bookman Old Style"/>
      <w:b/>
      <w:bCs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Normlnweb">
    <w:name w:val="Normal (Web)"/>
    <w:basedOn w:val="Normln"/>
    <w:pPr>
      <w:spacing w:before="280" w:after="280" w:line="195" w:lineRule="atLeast"/>
    </w:pPr>
    <w:rPr>
      <w:sz w:val="15"/>
      <w:szCs w:val="15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  <w:lang w:val="x-none"/>
    </w:rPr>
  </w:style>
  <w:style w:type="paragraph" w:customStyle="1" w:styleId="Nadpis12">
    <w:name w:val="Nadpis 12"/>
    <w:basedOn w:val="Normln"/>
    <w:next w:val="Normln"/>
    <w:pPr>
      <w:keepNext/>
      <w:widowControl w:val="0"/>
      <w:tabs>
        <w:tab w:val="left" w:pos="720"/>
      </w:tabs>
      <w:autoSpaceDE w:val="0"/>
      <w:ind w:left="720" w:hanging="360"/>
    </w:pPr>
    <w:rPr>
      <w:b/>
      <w:bCs/>
      <w:sz w:val="20"/>
      <w:szCs w:val="20"/>
      <w:lang w:bidi="cs-CZ"/>
    </w:rPr>
  </w:style>
  <w:style w:type="paragraph" w:customStyle="1" w:styleId="Nadpis22">
    <w:name w:val="Nadpis 22"/>
    <w:basedOn w:val="Normln"/>
    <w:next w:val="Normln"/>
    <w:pPr>
      <w:keepNext/>
      <w:widowControl w:val="0"/>
      <w:tabs>
        <w:tab w:val="left" w:pos="1440"/>
      </w:tabs>
      <w:autoSpaceDE w:val="0"/>
      <w:ind w:left="1440" w:hanging="360"/>
    </w:pPr>
    <w:rPr>
      <w:b/>
      <w:bCs/>
      <w:lang w:bidi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customStyle="1" w:styleId="Nadpis11">
    <w:name w:val="Nadpis 11"/>
    <w:basedOn w:val="Normln"/>
    <w:next w:val="Normln"/>
    <w:pPr>
      <w:keepNext/>
      <w:widowControl w:val="0"/>
      <w:numPr>
        <w:numId w:val="1"/>
      </w:numPr>
      <w:autoSpaceDE w:val="0"/>
      <w:outlineLvl w:val="0"/>
    </w:pPr>
    <w:rPr>
      <w:b/>
      <w:bCs/>
      <w:sz w:val="20"/>
      <w:szCs w:val="20"/>
      <w:lang w:bidi="cs-CZ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lnLatinkaCalibri">
    <w:name w:val="Normální + (Latinka) Calibri"/>
    <w:basedOn w:val="Normln"/>
    <w:pPr>
      <w:widowControl w:val="0"/>
      <w:tabs>
        <w:tab w:val="left" w:pos="720"/>
      </w:tabs>
      <w:spacing w:line="277" w:lineRule="exact"/>
      <w:ind w:left="720" w:hanging="360"/>
      <w:jc w:val="both"/>
    </w:pPr>
    <w:rPr>
      <w:lang w:val="en-US"/>
    </w:rPr>
  </w:style>
  <w:style w:type="character" w:styleId="Nevyeenzmnka">
    <w:name w:val="Unresolved Mention"/>
    <w:uiPriority w:val="99"/>
    <w:semiHidden/>
    <w:unhideWhenUsed/>
    <w:rsid w:val="00C46155"/>
    <w:rPr>
      <w:color w:val="605E5C"/>
      <w:shd w:val="clear" w:color="auto" w:fill="E1DFDD"/>
    </w:rPr>
  </w:style>
  <w:style w:type="paragraph" w:customStyle="1" w:styleId="NZEV">
    <w:name w:val="NÁZEV"/>
    <w:basedOn w:val="Obsah1"/>
    <w:rsid w:val="007377ED"/>
    <w:pPr>
      <w:tabs>
        <w:tab w:val="left" w:pos="400"/>
        <w:tab w:val="left" w:pos="540"/>
        <w:tab w:val="right" w:leader="dot" w:pos="9062"/>
      </w:tabs>
      <w:spacing w:before="120" w:after="120"/>
      <w:jc w:val="center"/>
    </w:pPr>
    <w:rPr>
      <w:rFonts w:ascii="Verdana" w:eastAsia="Batang" w:hAnsi="Verdana" w:cs="Verdana"/>
      <w:bCs/>
      <w:color w:val="FF0000"/>
      <w:sz w:val="40"/>
      <w:szCs w:val="2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73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brunclikova.katerina@nemkyj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B19B14ACF7B14FBB92C8E65CCDD25D" ma:contentTypeVersion="14" ma:contentTypeDescription="Vytvoří nový dokument" ma:contentTypeScope="" ma:versionID="daa59fcfdcebe8fff9bf3027fc850d0b">
  <xsd:schema xmlns:xsd="http://www.w3.org/2001/XMLSchema" xmlns:xs="http://www.w3.org/2001/XMLSchema" xmlns:p="http://schemas.microsoft.com/office/2006/metadata/properties" xmlns:ns2="679fa61e-0bc8-43e4-a071-f8e327014709" xmlns:ns3="87a5cc53-d505-4d0b-a39f-e3b8401ee5c0" targetNamespace="http://schemas.microsoft.com/office/2006/metadata/properties" ma:root="true" ma:fieldsID="52f020af83fe949d45b992c8ae17fe3b" ns2:_="" ns3:_="">
    <xsd:import namespace="679fa61e-0bc8-43e4-a071-f8e327014709"/>
    <xsd:import namespace="87a5cc53-d505-4d0b-a39f-e3b8401ee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fa61e-0bc8-43e4-a071-f8e327014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5cc53-d505-4d0b-a39f-e3b8401ee5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559bf33-e038-4c9d-af93-de97854f36e6}" ma:internalName="TaxCatchAll" ma:showField="CatchAllData" ma:web="87a5cc53-d505-4d0b-a39f-e3b8401ee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9fa61e-0bc8-43e4-a071-f8e327014709">
      <Terms xmlns="http://schemas.microsoft.com/office/infopath/2007/PartnerControls"/>
    </lcf76f155ced4ddcb4097134ff3c332f>
    <TaxCatchAll xmlns="87a5cc53-d505-4d0b-a39f-e3b8401ee5c0" xsi:nil="true"/>
  </documentManagement>
</p:properties>
</file>

<file path=customXml/itemProps1.xml><?xml version="1.0" encoding="utf-8"?>
<ds:datastoreItem xmlns:ds="http://schemas.openxmlformats.org/officeDocument/2006/customXml" ds:itemID="{4926142C-8557-4CEC-9B27-C0DF87B88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A4436-02D2-4BA3-AD26-33B3B9A96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fa61e-0bc8-43e4-a071-f8e327014709"/>
    <ds:schemaRef ds:uri="87a5cc53-d505-4d0b-a39f-e3b8401ee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871EDA-74DC-4F21-88B5-23041AE2F06C}">
  <ds:schemaRefs>
    <ds:schemaRef ds:uri="http://schemas.microsoft.com/office/2006/metadata/properties"/>
    <ds:schemaRef ds:uri="http://schemas.microsoft.com/office/infopath/2007/PartnerControls"/>
    <ds:schemaRef ds:uri="679fa61e-0bc8-43e4-a071-f8e327014709"/>
    <ds:schemaRef ds:uri="87a5cc53-d505-4d0b-a39f-e3b8401ee5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podmínky na zakázku – ultrazvukový přístroj</vt:lpstr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podmínky na zakázku – ultrazvukový přístroj</dc:title>
  <dc:subject/>
  <dc:creator>Vančurová Petra</dc:creator>
  <cp:keywords/>
  <dc:description/>
  <cp:lastModifiedBy>BRUNCLÍKOVÁ Kateřina</cp:lastModifiedBy>
  <cp:revision>2</cp:revision>
  <cp:lastPrinted>2022-10-25T12:29:00Z</cp:lastPrinted>
  <dcterms:created xsi:type="dcterms:W3CDTF">2022-12-13T08:18:00Z</dcterms:created>
  <dcterms:modified xsi:type="dcterms:W3CDTF">2022-12-13T08:18:00Z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vancurova.petra@kr-jihomoravsky.cz</vt:lpwstr>
  </property>
  <property fmtid="{D5CDD505-2E9C-101B-9397-08002B2CF9AE}" pid="5" name="MSIP_Label_690ebb53-23a2-471a-9c6e-17bd0d11311e_SetDate">
    <vt:lpwstr>2021-10-06T09:58:55.2109725Z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0x01010018B19B14ACF7B14FBB92C8E65CCDD25D</vt:lpwstr>
  </property>
  <property fmtid="{D5CDD505-2E9C-101B-9397-08002B2CF9AE}" pid="11" name="MediaServiceImageTags">
    <vt:lpwstr/>
  </property>
</Properties>
</file>