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1C8501E"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61170D">
              <w:rPr>
                <w:rFonts w:ascii="Arial Black" w:eastAsia="Times New Roman" w:hAnsi="Arial Black"/>
                <w:sz w:val="52"/>
                <w:szCs w:val="52"/>
                <w:lang w:eastAsia="cs-CZ"/>
              </w:rPr>
              <w:t>8</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07DDC5E3"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61170D">
        <w:rPr>
          <w:rFonts w:ascii="Arial Narrow" w:hAnsi="Arial Narrow"/>
          <w:sz w:val="24"/>
          <w:szCs w:val="24"/>
        </w:rPr>
        <w:t>zákoník</w:t>
      </w:r>
      <w:r w:rsidR="00484274" w:rsidRPr="0061170D">
        <w:rPr>
          <w:rFonts w:ascii="Arial Narrow" w:hAnsi="Arial Narrow"/>
          <w:sz w:val="24"/>
          <w:szCs w:val="24"/>
        </w:rPr>
        <w:t xml:space="preserve"> </w:t>
      </w:r>
      <w:r w:rsidR="00F23287" w:rsidRPr="0061170D">
        <w:rPr>
          <w:rFonts w:ascii="Arial Narrow" w:hAnsi="Arial Narrow"/>
          <w:sz w:val="24"/>
          <w:szCs w:val="24"/>
        </w:rPr>
        <w:t>(dále jen „</w:t>
      </w:r>
      <w:r w:rsidR="00F23287" w:rsidRPr="0061170D">
        <w:rPr>
          <w:rFonts w:ascii="Arial Narrow" w:hAnsi="Arial Narrow"/>
          <w:b/>
          <w:sz w:val="24"/>
          <w:szCs w:val="24"/>
        </w:rPr>
        <w:t>občanský zákoník</w:t>
      </w:r>
      <w:r w:rsidR="00F23287" w:rsidRPr="0061170D">
        <w:rPr>
          <w:rFonts w:ascii="Arial Narrow" w:hAnsi="Arial Narrow"/>
          <w:sz w:val="24"/>
          <w:szCs w:val="24"/>
        </w:rPr>
        <w:t>“)</w:t>
      </w:r>
      <w:r w:rsidR="000E24EB" w:rsidRPr="0061170D">
        <w:rPr>
          <w:rFonts w:ascii="Arial Narrow" w:hAnsi="Arial Narrow"/>
          <w:sz w:val="24"/>
          <w:szCs w:val="24"/>
        </w:rPr>
        <w:t xml:space="preserve">, jako výsledek otevřeného zadávacího řízení na realizaci </w:t>
      </w:r>
      <w:r w:rsidR="00AF5F01" w:rsidRPr="0061170D">
        <w:rPr>
          <w:rFonts w:ascii="Arial Narrow" w:hAnsi="Arial Narrow"/>
          <w:b/>
          <w:bCs/>
          <w:sz w:val="24"/>
          <w:szCs w:val="24"/>
        </w:rPr>
        <w:t xml:space="preserve">části </w:t>
      </w:r>
      <w:r w:rsidR="0061170D" w:rsidRPr="0061170D">
        <w:rPr>
          <w:rFonts w:ascii="Arial Narrow" w:hAnsi="Arial Narrow"/>
          <w:b/>
          <w:bCs/>
          <w:sz w:val="24"/>
          <w:szCs w:val="24"/>
        </w:rPr>
        <w:t>8</w:t>
      </w:r>
      <w:r w:rsidR="00AF5F01" w:rsidRPr="0061170D">
        <w:rPr>
          <w:rFonts w:ascii="Arial Narrow" w:hAnsi="Arial Narrow"/>
          <w:sz w:val="24"/>
          <w:szCs w:val="24"/>
        </w:rPr>
        <w:t xml:space="preserve"> </w:t>
      </w:r>
      <w:r w:rsidR="000E24EB" w:rsidRPr="0061170D">
        <w:rPr>
          <w:rFonts w:ascii="Arial Narrow" w:hAnsi="Arial Narrow"/>
          <w:sz w:val="24"/>
          <w:szCs w:val="24"/>
        </w:rPr>
        <w:t>nadlimitní</w:t>
      </w:r>
      <w:r w:rsidR="000E24EB" w:rsidRPr="003E33BE">
        <w:rPr>
          <w:rFonts w:ascii="Arial Narrow" w:hAnsi="Arial Narrow"/>
          <w:sz w:val="24"/>
          <w:szCs w:val="24"/>
        </w:rPr>
        <w:t xml:space="preserve"> veřejné zakázky nazvané „</w:t>
      </w:r>
      <w:r w:rsidR="00410A61" w:rsidRPr="00410A61">
        <w:rPr>
          <w:rFonts w:ascii="Arial Narrow" w:hAnsi="Arial Narrow"/>
          <w:b/>
          <w:sz w:val="24"/>
          <w:szCs w:val="24"/>
        </w:rPr>
        <w:t xml:space="preserve">Rozvoj infektologického pracoviště Nemocnice Kyjov – III. etapa, </w:t>
      </w:r>
      <w:r w:rsidR="00410A61">
        <w:rPr>
          <w:rFonts w:ascii="Arial Narrow" w:hAnsi="Arial Narrow"/>
          <w:b/>
          <w:sz w:val="24"/>
          <w:szCs w:val="24"/>
        </w:rPr>
        <w:t>zdravotnická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4C9BFCB2"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61170D">
        <w:rPr>
          <w:rFonts w:ascii="Arial Narrow" w:hAnsi="Arial Narrow"/>
          <w:b/>
          <w:bCs/>
          <w:sz w:val="24"/>
          <w:szCs w:val="24"/>
        </w:rPr>
        <w:t>laminární box (1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4008E41B" w14:textId="77777777" w:rsidR="000A277D" w:rsidRPr="009F4EFB" w:rsidRDefault="000A277D" w:rsidP="000A277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3023AAF7" w14:textId="77777777" w:rsidR="000A277D" w:rsidRPr="000E24EB" w:rsidRDefault="000A277D" w:rsidP="000A277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63628053" w14:textId="77777777" w:rsidR="000A277D" w:rsidRPr="000E24EB" w:rsidRDefault="000A277D" w:rsidP="000A277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54E1CBA4" w14:textId="77777777" w:rsidR="000A277D" w:rsidRPr="000E24EB" w:rsidRDefault="000A277D" w:rsidP="000A277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754E2419" w14:textId="77777777" w:rsidR="000A277D" w:rsidRDefault="000A277D" w:rsidP="000A277D">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0C52F5BD" w14:textId="77777777" w:rsidR="0096248D" w:rsidRPr="000E24EB" w:rsidRDefault="0096248D" w:rsidP="0096248D">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51CBC4E6" w14:textId="77777777" w:rsidR="000A277D" w:rsidRPr="00A108F3" w:rsidRDefault="000A277D" w:rsidP="000A277D">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114D821A" w14:textId="77777777" w:rsidR="000A277D" w:rsidRPr="00DF5434"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6584CB0D"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326EA6FD"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5A08F5A6"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24C4D4EC"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2E291FA0"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7AAF184F" w14:textId="77777777" w:rsidR="000A277D"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A449113" w:rsidR="00A108F3" w:rsidRPr="00A108F3" w:rsidRDefault="000A277D" w:rsidP="000A277D">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51C5DDA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4B6754AC" w:rsidR="00856222" w:rsidRDefault="00856222" w:rsidP="00B04533">
      <w:pPr>
        <w:spacing w:after="120"/>
        <w:ind w:left="284"/>
        <w:jc w:val="both"/>
        <w:rPr>
          <w:rFonts w:ascii="Arial Narrow" w:hAnsi="Arial Narrow"/>
          <w:sz w:val="24"/>
          <w:szCs w:val="24"/>
        </w:rPr>
      </w:pPr>
    </w:p>
    <w:p w14:paraId="56281E7A" w14:textId="5C261FE9" w:rsidR="0061170D" w:rsidRDefault="0061170D" w:rsidP="00B04533">
      <w:pPr>
        <w:spacing w:after="120"/>
        <w:ind w:left="284"/>
        <w:jc w:val="both"/>
        <w:rPr>
          <w:rFonts w:ascii="Arial Narrow" w:hAnsi="Arial Narrow"/>
          <w:sz w:val="24"/>
          <w:szCs w:val="24"/>
        </w:rPr>
      </w:pPr>
    </w:p>
    <w:p w14:paraId="3DA31592" w14:textId="77777777" w:rsidR="0061170D" w:rsidRPr="00DF5434" w:rsidRDefault="0061170D"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347F5968" w:rsidR="0074112E" w:rsidRDefault="0074112E" w:rsidP="00AF3F28">
      <w:pPr>
        <w:spacing w:after="0"/>
        <w:ind w:left="284"/>
        <w:jc w:val="both"/>
        <w:rPr>
          <w:rFonts w:ascii="Arial Narrow" w:hAnsi="Arial Narrow"/>
          <w:sz w:val="24"/>
          <w:szCs w:val="24"/>
        </w:rPr>
      </w:pPr>
    </w:p>
    <w:p w14:paraId="1495BCAE" w14:textId="77777777" w:rsidR="0061170D" w:rsidRPr="00A9022A" w:rsidRDefault="0061170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lastRenderedPageBreak/>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0D8508B3" w14:textId="77777777" w:rsidR="00246577" w:rsidRDefault="00246577"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 xml:space="preserve">zákona </w:t>
      </w:r>
      <w:bookmarkStart w:id="5" w:name="_Hlk132699028"/>
      <w:r>
        <w:rPr>
          <w:rFonts w:ascii="Arial Narrow" w:hAnsi="Arial Narrow"/>
          <w:sz w:val="24"/>
          <w:szCs w:val="24"/>
        </w:rPr>
        <w:t>o zdravotnických prostředcích</w:t>
      </w:r>
      <w:bookmarkEnd w:id="5"/>
      <w:r w:rsidRPr="00FD637E">
        <w:rPr>
          <w:rFonts w:ascii="Arial Narrow" w:hAnsi="Arial Narrow"/>
          <w:sz w:val="24"/>
          <w:szCs w:val="24"/>
        </w:rPr>
        <w:t>.</w:t>
      </w:r>
    </w:p>
    <w:p w14:paraId="5D21CE0D" w14:textId="148A0240"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0BE7277F" w14:textId="77777777" w:rsidR="002876D5"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763E11DD" w14:textId="77777777" w:rsidR="002876D5" w:rsidRDefault="002876D5"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w:t>
      </w:r>
      <w:r>
        <w:rPr>
          <w:rFonts w:ascii="Arial Narrow" w:hAnsi="Arial Narrow"/>
          <w:sz w:val="24"/>
          <w:szCs w:val="24"/>
        </w:rPr>
        <w:lastRenderedPageBreak/>
        <w:t xml:space="preserve">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p>
    <w:p w14:paraId="6973B416" w14:textId="24E8136D" w:rsidR="006301B0" w:rsidRDefault="006301B0" w:rsidP="002876D5">
      <w:pPr>
        <w:pStyle w:val="Odstavecseseznamem"/>
        <w:spacing w:after="120"/>
        <w:ind w:left="284"/>
        <w:jc w:val="both"/>
        <w:rPr>
          <w:rFonts w:ascii="Arial Narrow" w:hAnsi="Arial Narrow"/>
          <w:sz w:val="24"/>
          <w:szCs w:val="24"/>
        </w:rPr>
      </w:pPr>
      <w:r w:rsidRPr="00FD637E">
        <w:rPr>
          <w:rFonts w:ascii="Arial Narrow" w:hAnsi="Arial Narrow"/>
          <w:sz w:val="24"/>
          <w:szCs w:val="24"/>
        </w:rPr>
        <w:t xml:space="preserve"> </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4F742724" w:rsidR="00856222" w:rsidRDefault="00856222" w:rsidP="006423E4">
      <w:pPr>
        <w:tabs>
          <w:tab w:val="left" w:pos="0"/>
        </w:tabs>
        <w:spacing w:after="120"/>
        <w:ind w:left="284"/>
        <w:jc w:val="both"/>
        <w:rPr>
          <w:rFonts w:ascii="Arial Narrow" w:hAnsi="Arial Narrow"/>
          <w:b/>
          <w:sz w:val="24"/>
          <w:szCs w:val="24"/>
        </w:rPr>
      </w:pPr>
    </w:p>
    <w:p w14:paraId="360E784E" w14:textId="77777777" w:rsidR="0061170D" w:rsidRPr="00FD637E" w:rsidRDefault="0061170D"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77D"/>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6577"/>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876D5"/>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1CE5"/>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170D"/>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48D"/>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4788</Words>
  <Characters>28253</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65</cp:revision>
  <cp:lastPrinted>2015-07-09T08:18:00Z</cp:lastPrinted>
  <dcterms:created xsi:type="dcterms:W3CDTF">2022-03-18T11:21:00Z</dcterms:created>
  <dcterms:modified xsi:type="dcterms:W3CDTF">2023-04-24T06:25:00Z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