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61E983DB"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E90ADC">
              <w:rPr>
                <w:rFonts w:ascii="Arial Black" w:eastAsia="Times New Roman" w:hAnsi="Arial Black"/>
                <w:sz w:val="52"/>
                <w:szCs w:val="52"/>
                <w:lang w:eastAsia="cs-CZ"/>
              </w:rPr>
              <w:t>2</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47752DEB"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E90ADC">
        <w:rPr>
          <w:rFonts w:ascii="Arial Narrow" w:hAnsi="Arial Narrow"/>
          <w:sz w:val="24"/>
          <w:szCs w:val="24"/>
        </w:rPr>
        <w:t>občansk</w:t>
      </w:r>
      <w:r w:rsidR="005A635A" w:rsidRPr="00E90ADC">
        <w:rPr>
          <w:rFonts w:ascii="Arial Narrow" w:hAnsi="Arial Narrow"/>
          <w:sz w:val="24"/>
          <w:szCs w:val="24"/>
        </w:rPr>
        <w:t>ý</w:t>
      </w:r>
      <w:r w:rsidR="0069676D" w:rsidRPr="00E90ADC">
        <w:rPr>
          <w:rFonts w:ascii="Arial Narrow" w:hAnsi="Arial Narrow"/>
          <w:sz w:val="24"/>
          <w:szCs w:val="24"/>
        </w:rPr>
        <w:t xml:space="preserve"> zákoník</w:t>
      </w:r>
      <w:r w:rsidR="00484274" w:rsidRPr="00E90ADC">
        <w:rPr>
          <w:rFonts w:ascii="Arial Narrow" w:hAnsi="Arial Narrow"/>
          <w:sz w:val="24"/>
          <w:szCs w:val="24"/>
        </w:rPr>
        <w:t xml:space="preserve"> </w:t>
      </w:r>
      <w:r w:rsidR="00F23287" w:rsidRPr="00E90ADC">
        <w:rPr>
          <w:rFonts w:ascii="Arial Narrow" w:hAnsi="Arial Narrow"/>
          <w:sz w:val="24"/>
          <w:szCs w:val="24"/>
        </w:rPr>
        <w:t>(dále jen „</w:t>
      </w:r>
      <w:r w:rsidR="00F23287" w:rsidRPr="00E90ADC">
        <w:rPr>
          <w:rFonts w:ascii="Arial Narrow" w:hAnsi="Arial Narrow"/>
          <w:b/>
          <w:sz w:val="24"/>
          <w:szCs w:val="24"/>
        </w:rPr>
        <w:t>občanský zákoník</w:t>
      </w:r>
      <w:r w:rsidR="00F23287" w:rsidRPr="00E90ADC">
        <w:rPr>
          <w:rFonts w:ascii="Arial Narrow" w:hAnsi="Arial Narrow"/>
          <w:sz w:val="24"/>
          <w:szCs w:val="24"/>
        </w:rPr>
        <w:t>“)</w:t>
      </w:r>
      <w:r w:rsidR="000E24EB" w:rsidRPr="00E90ADC">
        <w:rPr>
          <w:rFonts w:ascii="Arial Narrow" w:hAnsi="Arial Narrow"/>
          <w:sz w:val="24"/>
          <w:szCs w:val="24"/>
        </w:rPr>
        <w:t xml:space="preserve">, jako výsledek otevřeného zadávacího řízení na realizaci </w:t>
      </w:r>
      <w:r w:rsidR="00AF5F01" w:rsidRPr="00E90ADC">
        <w:rPr>
          <w:rFonts w:ascii="Arial Narrow" w:hAnsi="Arial Narrow"/>
          <w:b/>
          <w:bCs/>
          <w:sz w:val="24"/>
          <w:szCs w:val="24"/>
        </w:rPr>
        <w:t xml:space="preserve">části </w:t>
      </w:r>
      <w:r w:rsidR="00E90ADC" w:rsidRPr="00E90ADC">
        <w:rPr>
          <w:rFonts w:ascii="Arial Narrow" w:hAnsi="Arial Narrow"/>
          <w:b/>
          <w:bCs/>
          <w:sz w:val="24"/>
          <w:szCs w:val="24"/>
        </w:rPr>
        <w:t>2</w:t>
      </w:r>
      <w:r w:rsidR="00AF5F01" w:rsidRPr="00E90ADC">
        <w:rPr>
          <w:rFonts w:ascii="Arial Narrow" w:hAnsi="Arial Narrow"/>
          <w:sz w:val="24"/>
          <w:szCs w:val="24"/>
        </w:rPr>
        <w:t xml:space="preserve"> </w:t>
      </w:r>
      <w:r w:rsidR="000E24EB" w:rsidRPr="00E90ADC">
        <w:rPr>
          <w:rFonts w:ascii="Arial Narrow" w:hAnsi="Arial Narrow"/>
          <w:sz w:val="24"/>
          <w:szCs w:val="24"/>
        </w:rPr>
        <w:t>nadlimitní veřejné zakázky nazvané „</w:t>
      </w:r>
      <w:r w:rsidR="00410A61" w:rsidRPr="00E90ADC">
        <w:rPr>
          <w:rFonts w:ascii="Arial Narrow" w:hAnsi="Arial Narrow"/>
          <w:b/>
          <w:sz w:val="24"/>
          <w:szCs w:val="24"/>
        </w:rPr>
        <w:t>Rozvoj infektologického pracoviště Nemocnice Kyjov – III. etapa, zdravotnická technika</w:t>
      </w:r>
      <w:r w:rsidR="008E2460" w:rsidRPr="00E90ADC">
        <w:rPr>
          <w:rFonts w:ascii="Arial Narrow" w:hAnsi="Arial Narrow"/>
          <w:bCs/>
          <w:sz w:val="24"/>
          <w:szCs w:val="24"/>
        </w:rPr>
        <w:t>“</w:t>
      </w:r>
      <w:r w:rsidR="000E24EB" w:rsidRPr="00E90ADC">
        <w:rPr>
          <w:rFonts w:ascii="Arial Narrow" w:hAnsi="Arial Narrow"/>
          <w:b/>
          <w:sz w:val="24"/>
          <w:szCs w:val="24"/>
        </w:rPr>
        <w:t xml:space="preserve"> </w:t>
      </w:r>
      <w:r w:rsidR="000E24EB" w:rsidRPr="00E90ADC">
        <w:rPr>
          <w:rFonts w:ascii="Arial Narrow" w:hAnsi="Arial Narrow"/>
          <w:sz w:val="24"/>
          <w:szCs w:val="24"/>
        </w:rPr>
        <w:t>(dále jen „</w:t>
      </w:r>
      <w:r w:rsidR="000E24EB" w:rsidRPr="00E90ADC">
        <w:rPr>
          <w:rFonts w:ascii="Arial Narrow" w:hAnsi="Arial Narrow"/>
          <w:b/>
          <w:sz w:val="24"/>
          <w:szCs w:val="24"/>
        </w:rPr>
        <w:t>veřejná</w:t>
      </w:r>
      <w:r w:rsidR="000E24EB" w:rsidRPr="00E90ADC">
        <w:rPr>
          <w:rFonts w:ascii="Arial Narrow" w:hAnsi="Arial Narrow"/>
          <w:sz w:val="24"/>
          <w:szCs w:val="24"/>
        </w:rPr>
        <w:t xml:space="preserve"> </w:t>
      </w:r>
      <w:r w:rsidR="000E24EB" w:rsidRPr="00E90ADC">
        <w:rPr>
          <w:rFonts w:ascii="Arial Narrow" w:hAnsi="Arial Narrow"/>
          <w:b/>
          <w:sz w:val="24"/>
          <w:szCs w:val="24"/>
        </w:rPr>
        <w:t>zakázka</w:t>
      </w:r>
      <w:r w:rsidR="000E24EB" w:rsidRPr="00E90ADC">
        <w:rPr>
          <w:rFonts w:ascii="Arial Narrow" w:hAnsi="Arial Narrow"/>
          <w:sz w:val="24"/>
          <w:szCs w:val="24"/>
        </w:rPr>
        <w:t>“), v souladu se zákonem č. 134/2016 Sb., o zadává</w:t>
      </w:r>
      <w:r w:rsidR="000E24EB" w:rsidRPr="000E24EB">
        <w:rPr>
          <w:rFonts w:ascii="Arial Narrow" w:hAnsi="Arial Narrow"/>
          <w:sz w:val="24"/>
          <w:szCs w:val="24"/>
        </w:rPr>
        <w:t>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0E0EEAC"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E90ADC" w:rsidRPr="00E90ADC">
        <w:rPr>
          <w:rFonts w:ascii="Arial Narrow" w:hAnsi="Arial Narrow"/>
          <w:b/>
          <w:bCs/>
          <w:sz w:val="24"/>
          <w:szCs w:val="24"/>
        </w:rPr>
        <w:t>nechlazen</w:t>
      </w:r>
      <w:r w:rsidR="00DE3443">
        <w:rPr>
          <w:rFonts w:ascii="Arial Narrow" w:hAnsi="Arial Narrow"/>
          <w:b/>
          <w:bCs/>
          <w:sz w:val="24"/>
          <w:szCs w:val="24"/>
        </w:rPr>
        <w:t>ou</w:t>
      </w:r>
      <w:r w:rsidR="00E90ADC" w:rsidRPr="00E90ADC">
        <w:rPr>
          <w:rFonts w:ascii="Arial Narrow" w:hAnsi="Arial Narrow"/>
          <w:b/>
          <w:bCs/>
          <w:sz w:val="24"/>
          <w:szCs w:val="24"/>
        </w:rPr>
        <w:t xml:space="preserve"> centrifug</w:t>
      </w:r>
      <w:r w:rsidR="00DE3443">
        <w:rPr>
          <w:rFonts w:ascii="Arial Narrow" w:hAnsi="Arial Narrow"/>
          <w:b/>
          <w:bCs/>
          <w:sz w:val="24"/>
          <w:szCs w:val="24"/>
        </w:rPr>
        <w:t xml:space="preserve">u </w:t>
      </w:r>
      <w:r w:rsidR="00DE3443">
        <w:rPr>
          <w:rFonts w:ascii="Arial Narrow" w:hAnsi="Arial Narrow"/>
          <w:b/>
          <w:bCs/>
          <w:sz w:val="24"/>
          <w:szCs w:val="24"/>
        </w:rPr>
        <w:br/>
        <w:t>(3 ks)</w:t>
      </w:r>
      <w:r w:rsidR="00E90ADC" w:rsidRPr="00E90ADC">
        <w:rPr>
          <w:rFonts w:ascii="Arial Narrow" w:hAnsi="Arial Narrow"/>
          <w:b/>
          <w:bCs/>
          <w:sz w:val="24"/>
          <w:szCs w:val="24"/>
        </w:rPr>
        <w:t xml:space="preserve"> a velkoobjemov</w:t>
      </w:r>
      <w:r w:rsidR="00DE3443">
        <w:rPr>
          <w:rFonts w:ascii="Arial Narrow" w:hAnsi="Arial Narrow"/>
          <w:b/>
          <w:bCs/>
          <w:sz w:val="24"/>
          <w:szCs w:val="24"/>
        </w:rPr>
        <w:t>ou</w:t>
      </w:r>
      <w:r w:rsidR="00E90ADC">
        <w:rPr>
          <w:rFonts w:ascii="Arial Narrow" w:hAnsi="Arial Narrow"/>
          <w:b/>
          <w:bCs/>
          <w:sz w:val="24"/>
          <w:szCs w:val="24"/>
        </w:rPr>
        <w:t xml:space="preserve"> chlazen</w:t>
      </w:r>
      <w:r w:rsidR="00DE3443">
        <w:rPr>
          <w:rFonts w:ascii="Arial Narrow" w:hAnsi="Arial Narrow"/>
          <w:b/>
          <w:bCs/>
          <w:sz w:val="24"/>
          <w:szCs w:val="24"/>
        </w:rPr>
        <w:t>ou</w:t>
      </w:r>
      <w:r w:rsidR="00E90ADC" w:rsidRPr="00E90ADC">
        <w:rPr>
          <w:rFonts w:ascii="Arial Narrow" w:hAnsi="Arial Narrow"/>
          <w:b/>
          <w:bCs/>
          <w:sz w:val="24"/>
          <w:szCs w:val="24"/>
        </w:rPr>
        <w:t xml:space="preserve"> centrifug</w:t>
      </w:r>
      <w:r w:rsidR="00DE3443">
        <w:rPr>
          <w:rFonts w:ascii="Arial Narrow" w:hAnsi="Arial Narrow"/>
          <w:b/>
          <w:bCs/>
          <w:sz w:val="24"/>
          <w:szCs w:val="24"/>
        </w:rPr>
        <w:t>u (1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6E0E7918" w14:textId="77777777" w:rsidR="004A2E46" w:rsidRPr="009F4EFB" w:rsidRDefault="004A2E46" w:rsidP="004A2E46">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3C488228" w14:textId="77777777" w:rsidR="004A2E46" w:rsidRPr="000E24EB" w:rsidRDefault="004A2E46" w:rsidP="004A2E46">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44B61CDC" w14:textId="77777777" w:rsidR="004A2E46" w:rsidRPr="000E24EB" w:rsidRDefault="004A2E46" w:rsidP="004A2E46">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197E0615" w14:textId="77777777" w:rsidR="004A2E46" w:rsidRPr="000E24EB" w:rsidRDefault="004A2E46" w:rsidP="004A2E46">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12BC0529" w14:textId="77777777" w:rsidR="004A2E46" w:rsidRDefault="004A2E46" w:rsidP="004A2E46">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005120DA" w14:textId="77777777" w:rsidR="00B3486A" w:rsidRDefault="0050769D" w:rsidP="0050769D">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příslušná ustanovení této smlouvy odkazující na povinnosti dle citovaného zákona se neuplatní.</w:t>
      </w:r>
    </w:p>
    <w:p w14:paraId="4365F408" w14:textId="77777777" w:rsidR="00B3486A" w:rsidRPr="000E24EB" w:rsidRDefault="00B3486A" w:rsidP="00B3486A">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521EABD8" w14:textId="77777777" w:rsidR="004A2E46" w:rsidRPr="00A108F3" w:rsidRDefault="004A2E46" w:rsidP="004A2E46">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DB34EEA" w14:textId="77777777" w:rsidR="004A2E46" w:rsidRPr="00DF5434"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62E751DB"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lastRenderedPageBreak/>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5F3C194C"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1FA3512D"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576DF9A6"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310F2807"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2D7F5C67" w14:textId="77777777" w:rsidR="004A2E46"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0A089651" w:rsidR="00A108F3" w:rsidRPr="00A108F3" w:rsidRDefault="004A2E46" w:rsidP="004A2E46">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w:t>
      </w:r>
      <w:r w:rsidRPr="00A108F3">
        <w:rPr>
          <w:rFonts w:ascii="Arial Narrow" w:hAnsi="Arial Narrow"/>
          <w:sz w:val="24"/>
          <w:szCs w:val="24"/>
        </w:rPr>
        <w:lastRenderedPageBreak/>
        <w:t>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F0592C" w:rsidRPr="00B54D23" w14:paraId="56E3FB9C" w14:textId="77777777" w:rsidTr="00E24514">
        <w:trPr>
          <w:trHeight w:val="618"/>
        </w:trPr>
        <w:tc>
          <w:tcPr>
            <w:tcW w:w="3260" w:type="dxa"/>
            <w:shd w:val="clear" w:color="auto" w:fill="D0CECE"/>
            <w:vAlign w:val="center"/>
          </w:tcPr>
          <w:p w14:paraId="1F3963D4" w14:textId="77777777" w:rsidR="00F0592C" w:rsidRPr="00B54D23" w:rsidRDefault="00F0592C" w:rsidP="00E24514">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77B77E19" w14:textId="77777777" w:rsidR="00F0592C" w:rsidRPr="00B54D23" w:rsidRDefault="00F0592C" w:rsidP="00E24514">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556D8D3A" w14:textId="77777777" w:rsidR="00F0592C" w:rsidRDefault="00F0592C" w:rsidP="00E24514">
            <w:pPr>
              <w:spacing w:after="0"/>
              <w:jc w:val="center"/>
              <w:rPr>
                <w:rFonts w:cs="Calibri"/>
                <w:b/>
                <w:bCs/>
                <w:color w:val="000000"/>
              </w:rPr>
            </w:pPr>
            <w:r>
              <w:rPr>
                <w:rFonts w:cs="Calibri"/>
                <w:b/>
                <w:bCs/>
                <w:color w:val="000000"/>
              </w:rPr>
              <w:t xml:space="preserve">Cena/ks </w:t>
            </w:r>
          </w:p>
          <w:p w14:paraId="66CFC58E" w14:textId="77777777" w:rsidR="00F0592C" w:rsidRPr="00B54D23" w:rsidRDefault="00F0592C" w:rsidP="00E24514">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4BDAD079" w14:textId="77777777" w:rsidR="00F0592C" w:rsidRDefault="00F0592C" w:rsidP="00E24514">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247C7D69" w14:textId="77777777" w:rsidR="00F0592C" w:rsidRPr="00B54D23" w:rsidRDefault="00F0592C" w:rsidP="00E24514">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F0592C" w:rsidRPr="00A05065" w14:paraId="57778F9D" w14:textId="77777777" w:rsidTr="00E24514">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CC3DFC8" w14:textId="531F9407" w:rsidR="00F0592C" w:rsidRPr="006D6CAA" w:rsidRDefault="00E90ADC" w:rsidP="00F0592C">
            <w:pPr>
              <w:spacing w:after="0"/>
              <w:rPr>
                <w:rFonts w:cs="Calibri"/>
                <w:highlight w:val="magenta"/>
              </w:rPr>
            </w:pPr>
            <w:r w:rsidRPr="00E90ADC">
              <w:rPr>
                <w:rFonts w:cs="Calibri"/>
              </w:rPr>
              <w:t xml:space="preserve">Centrifuga - velkoobjemová centrifuga chlazená </w:t>
            </w:r>
            <w:r w:rsidR="001D0CBB">
              <w:rPr>
                <w:rFonts w:cs="Calibri"/>
              </w:rPr>
              <w:t xml:space="preserve"> s příslušenstvím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6CBE0B" w14:textId="2272E1A7" w:rsidR="00F0592C" w:rsidRPr="00064FF5" w:rsidRDefault="00F0592C" w:rsidP="00F0592C">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53C38349" w14:textId="77777777"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0E9078D0" w14:textId="77777777"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F0592C" w:rsidRPr="00A05065" w14:paraId="48325194" w14:textId="77777777" w:rsidTr="00E24514">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0CD61E3" w14:textId="3D957460" w:rsidR="00F0592C" w:rsidRPr="006D6CAA" w:rsidRDefault="00E90ADC" w:rsidP="00F0592C">
            <w:pPr>
              <w:spacing w:after="0"/>
              <w:rPr>
                <w:rFonts w:cs="Calibri"/>
                <w:highlight w:val="magenta"/>
              </w:rPr>
            </w:pPr>
            <w:r w:rsidRPr="00E90ADC">
              <w:rPr>
                <w:rFonts w:cs="Calibri"/>
              </w:rPr>
              <w:t xml:space="preserve">Centrifuga nechlazená s příslušenstvím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3111DE" w14:textId="3E02065B" w:rsidR="00F0592C" w:rsidRPr="00064FF5" w:rsidRDefault="00E90ADC" w:rsidP="00F0592C">
            <w:pPr>
              <w:spacing w:after="0"/>
              <w:jc w:val="center"/>
              <w:rPr>
                <w:rFonts w:cs="Calibri"/>
              </w:rPr>
            </w:pPr>
            <w:r>
              <w:rPr>
                <w:rFonts w:cs="Calibri"/>
              </w:rPr>
              <w:t>3</w:t>
            </w:r>
          </w:p>
        </w:tc>
        <w:tc>
          <w:tcPr>
            <w:tcW w:w="2274" w:type="dxa"/>
            <w:tcBorders>
              <w:top w:val="single" w:sz="4" w:space="0" w:color="auto"/>
              <w:left w:val="single" w:sz="4" w:space="0" w:color="auto"/>
              <w:bottom w:val="single" w:sz="4" w:space="0" w:color="auto"/>
              <w:right w:val="single" w:sz="4" w:space="0" w:color="auto"/>
            </w:tcBorders>
            <w:vAlign w:val="center"/>
          </w:tcPr>
          <w:p w14:paraId="2F87214E" w14:textId="185F1A5F"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E1574E4" w14:textId="3643EB31" w:rsidR="00F0592C" w:rsidRPr="00A05065" w:rsidRDefault="00F0592C" w:rsidP="00F0592C">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07A70A44" w14:textId="77777777" w:rsidR="00E90ADC" w:rsidRPr="00E90ADC" w:rsidRDefault="00E90ADC" w:rsidP="0074112E">
      <w:pPr>
        <w:pStyle w:val="Odstavecseseznamem"/>
        <w:tabs>
          <w:tab w:val="left" w:pos="4962"/>
        </w:tabs>
        <w:spacing w:after="0"/>
        <w:ind w:left="1069" w:hanging="360"/>
        <w:rPr>
          <w:rFonts w:ascii="Arial Narrow" w:hAnsi="Arial Narrow"/>
          <w:sz w:val="10"/>
          <w:szCs w:val="10"/>
        </w:rPr>
      </w:pPr>
    </w:p>
    <w:p w14:paraId="36E6C21C" w14:textId="418ADF5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V kupní ceně jsou zahrnuty veškeré náklady prodávajícího nezbytné pro řádné a včasné splnění celého předmětu této smlouvy včetně provedení služeb spočívajících v jeho instalaci, příp. montáži či </w:t>
      </w:r>
      <w:r w:rsidRPr="0074112E">
        <w:rPr>
          <w:rFonts w:ascii="Arial Narrow" w:hAnsi="Arial Narrow"/>
          <w:sz w:val="24"/>
          <w:szCs w:val="24"/>
        </w:rPr>
        <w:lastRenderedPageBreak/>
        <w:t>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77777777" w:rsidR="00856222" w:rsidRPr="00DF5434" w:rsidRDefault="00856222"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77777777" w:rsidR="0074112E" w:rsidRPr="00A9022A" w:rsidRDefault="0074112E"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lastRenderedPageBreak/>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2E417745" w:rsidR="00B04533" w:rsidRDefault="00B04533" w:rsidP="00B04533">
      <w:pPr>
        <w:spacing w:after="120"/>
        <w:ind w:left="340"/>
        <w:jc w:val="both"/>
        <w:rPr>
          <w:rFonts w:ascii="Arial Narrow" w:hAnsi="Arial Narrow"/>
          <w:sz w:val="24"/>
          <w:szCs w:val="24"/>
        </w:rPr>
      </w:pPr>
    </w:p>
    <w:p w14:paraId="20895E1F" w14:textId="77777777" w:rsidR="00E90ADC" w:rsidRPr="00FD637E" w:rsidRDefault="00E90ADC"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lastRenderedPageBreak/>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50EC8CC0" w:rsidR="006301B0" w:rsidRDefault="006301B0" w:rsidP="006301B0">
      <w:pPr>
        <w:spacing w:after="120"/>
        <w:jc w:val="both"/>
        <w:rPr>
          <w:rFonts w:ascii="Arial Narrow" w:hAnsi="Arial Narrow"/>
          <w:sz w:val="24"/>
          <w:szCs w:val="24"/>
        </w:rPr>
      </w:pPr>
    </w:p>
    <w:p w14:paraId="1DE07227" w14:textId="77777777" w:rsidR="00E90ADC" w:rsidRPr="00FD637E" w:rsidRDefault="00E90ADC"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6583148B" w14:textId="77777777" w:rsidR="00A52808" w:rsidRPr="00FD637E" w:rsidRDefault="00A52808" w:rsidP="00A52808">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zákona o zdravotnických prostředcích</w:t>
      </w:r>
      <w:r w:rsidRPr="00FD637E">
        <w:rPr>
          <w:rFonts w:ascii="Arial Narrow" w:hAnsi="Arial Narrow"/>
          <w:sz w:val="24"/>
          <w:szCs w:val="24"/>
        </w:rPr>
        <w:t>.</w:t>
      </w:r>
    </w:p>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0405B165" w14:textId="77777777" w:rsidR="007D0B05"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4F22AFCA" w14:textId="77777777" w:rsidR="007D0B05" w:rsidRDefault="007D0B05" w:rsidP="00CB49DE">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p>
    <w:p w14:paraId="6854F335" w14:textId="77777777" w:rsidR="00E90ADC" w:rsidRDefault="00E90ADC"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lastRenderedPageBreak/>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77777777" w:rsidR="00856222" w:rsidRPr="00FD637E" w:rsidRDefault="00856222"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 xml:space="preserve">otního prostředí a </w:t>
      </w:r>
      <w:r>
        <w:rPr>
          <w:rFonts w:ascii="Arial Narrow" w:hAnsi="Arial Narrow" w:cs="Calibri"/>
          <w:sz w:val="24"/>
          <w:szCs w:val="24"/>
        </w:rPr>
        <w:lastRenderedPageBreak/>
        <w:t>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5" w:name="OLE_LINK1"/>
      <w:bookmarkStart w:id="6"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5"/>
    <w:bookmarkEnd w:id="6"/>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Nevymahatelnost nebo neplatnost kteréhokoli ustanovení této smlouvy neovlivní vymahatelnost nebo platnost této smlouvy jako celku, vyjma těch případů, kdy takové nevymahatelné nebo neplatné </w:t>
      </w:r>
      <w:r w:rsidRPr="00574D54">
        <w:rPr>
          <w:rFonts w:ascii="Arial Narrow" w:eastAsia="Times New Roman" w:hAnsi="Arial Narrow"/>
          <w:sz w:val="24"/>
          <w:szCs w:val="24"/>
          <w:lang w:eastAsia="cs-CZ"/>
        </w:rPr>
        <w:lastRenderedPageBreak/>
        <w:t>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0CBB"/>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2E46"/>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0769D"/>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1463"/>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0B05"/>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0957"/>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2808"/>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86A"/>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49D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E3443"/>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0ADC"/>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2793500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4862</Words>
  <Characters>28687</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70</cp:revision>
  <cp:lastPrinted>2015-07-09T08:18:00Z</cp:lastPrinted>
  <dcterms:created xsi:type="dcterms:W3CDTF">2022-03-18T11:21:00Z</dcterms:created>
  <dcterms:modified xsi:type="dcterms:W3CDTF">2023-04-24T06:24:00Z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