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BF86D" w14:textId="4AE2F16B" w:rsidR="00C67C6B" w:rsidRPr="00C67C6B" w:rsidRDefault="00C67C6B" w:rsidP="00663CEF">
      <w:pPr>
        <w:rPr>
          <w:b/>
          <w:sz w:val="24"/>
          <w:u w:val="single"/>
        </w:rPr>
      </w:pPr>
      <w:r w:rsidRPr="00C67C6B">
        <w:rPr>
          <w:b/>
          <w:sz w:val="24"/>
          <w:u w:val="single"/>
        </w:rPr>
        <w:t>Příloha ZD č. 3</w:t>
      </w:r>
      <w:r w:rsidR="0013111A">
        <w:rPr>
          <w:b/>
          <w:sz w:val="24"/>
          <w:u w:val="single"/>
        </w:rPr>
        <w:t>0</w:t>
      </w:r>
    </w:p>
    <w:p w14:paraId="1289EAAE" w14:textId="50B5ECD8" w:rsidR="00663CEF" w:rsidRDefault="00663CEF" w:rsidP="00663CEF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 xml:space="preserve">nástavbu pro podvozek </w:t>
      </w:r>
      <w:r w:rsidR="00024B94">
        <w:rPr>
          <w:b/>
          <w:sz w:val="24"/>
        </w:rPr>
        <w:t>6x6</w:t>
      </w:r>
      <w:r>
        <w:rPr>
          <w:b/>
          <w:sz w:val="24"/>
        </w:rPr>
        <w:t xml:space="preserve"> – </w:t>
      </w:r>
      <w:r w:rsidR="00C67C6B">
        <w:rPr>
          <w:b/>
          <w:sz w:val="24"/>
        </w:rPr>
        <w:t>valníková</w:t>
      </w:r>
      <w:r w:rsidRPr="00663CEF">
        <w:rPr>
          <w:b/>
          <w:color w:val="FF0000"/>
          <w:sz w:val="24"/>
        </w:rPr>
        <w:t xml:space="preserve"> </w:t>
      </w:r>
      <w:r>
        <w:rPr>
          <w:b/>
          <w:sz w:val="24"/>
        </w:rPr>
        <w:t>nástavba s hydraulickým nakládacím jeřábem</w:t>
      </w:r>
    </w:p>
    <w:p w14:paraId="164E1CD8" w14:textId="00C69A1C" w:rsidR="00663CEF" w:rsidRPr="00080CAC" w:rsidRDefault="00663CEF" w:rsidP="00663CEF">
      <w:pPr>
        <w:rPr>
          <w:b/>
          <w:sz w:val="24"/>
        </w:rPr>
      </w:pPr>
      <w:r>
        <w:rPr>
          <w:b/>
          <w:sz w:val="24"/>
        </w:rPr>
        <w:t xml:space="preserve">součástí sestavy č. </w:t>
      </w:r>
      <w:r w:rsidR="00D203BD">
        <w:rPr>
          <w:b/>
          <w:sz w:val="24"/>
        </w:rPr>
        <w:t>13</w:t>
      </w:r>
    </w:p>
    <w:p w14:paraId="4FFCDE6A" w14:textId="77777777" w:rsidR="00663CEF" w:rsidRDefault="00663CEF" w:rsidP="00663CEF">
      <w:pPr>
        <w:rPr>
          <w:rFonts w:asciiTheme="minorHAnsi" w:hAnsiTheme="minorHAnsi"/>
          <w:b/>
        </w:rPr>
      </w:pPr>
    </w:p>
    <w:p w14:paraId="32ED741B" w14:textId="36662325" w:rsidR="00663CEF" w:rsidRPr="00543F62" w:rsidRDefault="00C67C6B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>
        <w:rPr>
          <w:szCs w:val="20"/>
        </w:rPr>
        <w:t xml:space="preserve">valníková </w:t>
      </w:r>
      <w:r w:rsidR="00663CEF" w:rsidRPr="00543F62">
        <w:rPr>
          <w:szCs w:val="20"/>
        </w:rPr>
        <w:t xml:space="preserve">nástavba včetně hydraulického nakládacího jeřábu bude osazena na automobilovém podvozku </w:t>
      </w:r>
      <w:r w:rsidR="00D203BD">
        <w:rPr>
          <w:szCs w:val="20"/>
        </w:rPr>
        <w:t>6</w:t>
      </w:r>
      <w:r w:rsidR="00663CEF" w:rsidRPr="00543F62">
        <w:rPr>
          <w:szCs w:val="20"/>
        </w:rPr>
        <w:t>x</w:t>
      </w:r>
      <w:r w:rsidR="00D203BD">
        <w:rPr>
          <w:szCs w:val="20"/>
        </w:rPr>
        <w:t>6</w:t>
      </w:r>
      <w:r w:rsidR="00663CEF" w:rsidRPr="00543F62">
        <w:rPr>
          <w:szCs w:val="20"/>
        </w:rPr>
        <w:t>, který je vybaven nosičem pracovních nástaveb jako další výměnná nástavba na nosič nástaveb</w:t>
      </w:r>
    </w:p>
    <w:p w14:paraId="5A8C035A" w14:textId="77777777" w:rsidR="00663CEF" w:rsidRPr="00543F62" w:rsidRDefault="00663CEF" w:rsidP="00663CEF">
      <w:pPr>
        <w:pStyle w:val="Zkladntextodsazen"/>
        <w:numPr>
          <w:ilvl w:val="0"/>
          <w:numId w:val="2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486981D7" w14:textId="77777777" w:rsidR="00663CEF" w:rsidRPr="00543F62" w:rsidRDefault="00663CEF" w:rsidP="00663CEF">
      <w:pPr>
        <w:pStyle w:val="Zkladntextodsazen"/>
        <w:numPr>
          <w:ilvl w:val="0"/>
          <w:numId w:val="2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>řešen jako výměnná nástavba s odstavením na nohy (4 ks odstavných nohou – součástí dodávky)</w:t>
      </w:r>
    </w:p>
    <w:p w14:paraId="12A6EF66" w14:textId="23FE35C6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 xml:space="preserve">dva hydraulické výsuvy, dosah </w:t>
      </w:r>
      <w:r w:rsidR="00C74F7B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C74F7B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43F62">
        <w:rPr>
          <w:szCs w:val="20"/>
        </w:rPr>
        <w:t>m</w:t>
      </w:r>
    </w:p>
    <w:p w14:paraId="293ACAD0" w14:textId="08438C6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 xml:space="preserve">na konci výložníku zdvih </w:t>
      </w:r>
      <w:r w:rsidR="00C74F7B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C74F7B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43F62">
        <w:rPr>
          <w:szCs w:val="20"/>
        </w:rPr>
        <w:t>kg</w:t>
      </w:r>
    </w:p>
    <w:p w14:paraId="4F834E3A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základna litinová</w:t>
      </w:r>
    </w:p>
    <w:p w14:paraId="7B5CD78A" w14:textId="2011E84E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 xml:space="preserve">rozsah otáčení </w:t>
      </w:r>
      <w:r w:rsidR="00C74F7B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C74F7B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43F62">
        <w:rPr>
          <w:szCs w:val="20"/>
        </w:rPr>
        <w:t>°</w:t>
      </w:r>
    </w:p>
    <w:p w14:paraId="33C5CC7C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sloup a systém otoče vybaven centrálním mazáním</w:t>
      </w:r>
    </w:p>
    <w:p w14:paraId="4642748F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dálkové rádiové ovládání – lineární, 6ti funkční, proporcionální</w:t>
      </w:r>
    </w:p>
    <w:p w14:paraId="7E7E5EAC" w14:textId="4BC1F078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 xml:space="preserve">hydraulický výsuv podpěr, rozpon </w:t>
      </w:r>
      <w:r w:rsidR="00C74F7B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C74F7B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43F62">
        <w:rPr>
          <w:szCs w:val="20"/>
        </w:rPr>
        <w:t>mm</w:t>
      </w:r>
    </w:p>
    <w:p w14:paraId="5102ECB0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výsuv podpěr ovládaný z dálkového ovládání</w:t>
      </w:r>
    </w:p>
    <w:p w14:paraId="783EEDAE" w14:textId="45F9875E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 xml:space="preserve">hydraulické naklápění podpěr o </w:t>
      </w:r>
      <w:r w:rsidR="00C74F7B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543F62">
        <w:rPr>
          <w:szCs w:val="20"/>
        </w:rPr>
        <w:t>°</w:t>
      </w:r>
    </w:p>
    <w:p w14:paraId="213132EF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hydraulické naklápění podpěr ovládané z rádiového ovládání</w:t>
      </w:r>
    </w:p>
    <w:p w14:paraId="777BC513" w14:textId="2F4CE28F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 xml:space="preserve">možnost zalomení sklopného ramene až o </w:t>
      </w:r>
      <w:r w:rsidR="00C74F7B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C74F7B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43F62">
        <w:rPr>
          <w:szCs w:val="20"/>
        </w:rPr>
        <w:t>° do záporné polohy</w:t>
      </w:r>
    </w:p>
    <w:p w14:paraId="62446A54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vývody hydrauliky na konec ramene pro dvě přídavná zařízení (rotátor + drapák)</w:t>
      </w:r>
    </w:p>
    <w:p w14:paraId="75AFFF3D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pokročilé monitorování podpěr a stability, až v šesti úrovních, pracovní tlak závisí na poloze podpěr</w:t>
      </w:r>
    </w:p>
    <w:p w14:paraId="7BDFC87C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 xml:space="preserve">příslušenství k nakládacímu jeřábu: </w:t>
      </w:r>
    </w:p>
    <w:p w14:paraId="531B2AAB" w14:textId="77777777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dvojice podložek pod podpěry</w:t>
      </w:r>
    </w:p>
    <w:p w14:paraId="5440B212" w14:textId="77777777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podpěry vybaveny LED výstražnými světly – tyto musí být umístěny minimální na přední a zadní straně po</w:t>
      </w:r>
    </w:p>
    <w:p w14:paraId="50FC2F1C" w14:textId="63E322A9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 xml:space="preserve">rotátor s nosností </w:t>
      </w:r>
      <w:r w:rsidR="00C74F7B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C74F7B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43F62">
        <w:rPr>
          <w:szCs w:val="20"/>
        </w:rPr>
        <w:t>t</w:t>
      </w:r>
    </w:p>
    <w:p w14:paraId="75A82574" w14:textId="77777777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drapák na sypké hmoty:</w:t>
      </w:r>
    </w:p>
    <w:p w14:paraId="4EB1BCA4" w14:textId="47A5F25F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 xml:space="preserve">objem minimálně </w:t>
      </w:r>
      <w:r w:rsidR="00C74F7B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543F62">
        <w:rPr>
          <w:szCs w:val="20"/>
        </w:rPr>
        <w:t xml:space="preserve"> l</w:t>
      </w:r>
    </w:p>
    <w:p w14:paraId="139EAFD4" w14:textId="77777777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hmotnost maximálně 135 kg</w:t>
      </w:r>
    </w:p>
    <w:p w14:paraId="49CC2019" w14:textId="77777777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rovné břity – nakládka sypkých hmot</w:t>
      </w:r>
    </w:p>
    <w:p w14:paraId="36F82EE2" w14:textId="77777777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pracovní koš:</w:t>
      </w:r>
    </w:p>
    <w:p w14:paraId="6A2B58BC" w14:textId="2A78C6A8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 xml:space="preserve">pro </w:t>
      </w:r>
      <w:r w:rsidR="003F09EC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543F62">
        <w:rPr>
          <w:szCs w:val="20"/>
        </w:rPr>
        <w:t xml:space="preserve"> osoby</w:t>
      </w:r>
    </w:p>
    <w:p w14:paraId="1BF80CD3" w14:textId="77777777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hliníkový</w:t>
      </w:r>
    </w:p>
    <w:p w14:paraId="1610BD0B" w14:textId="2E1ED7C7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 xml:space="preserve">nosnost </w:t>
      </w:r>
      <w:r w:rsidR="00C74F7B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543F62">
        <w:rPr>
          <w:szCs w:val="20"/>
        </w:rPr>
        <w:t>kg</w:t>
      </w:r>
    </w:p>
    <w:p w14:paraId="1B30FFED" w14:textId="77777777" w:rsidR="00663CEF" w:rsidRDefault="00663CEF" w:rsidP="00663CEF">
      <w:pPr>
        <w:pStyle w:val="Standard"/>
      </w:pPr>
    </w:p>
    <w:p w14:paraId="41D6F207" w14:textId="77777777" w:rsidR="00663CEF" w:rsidRPr="00286AEC" w:rsidRDefault="00663CEF" w:rsidP="00663CEF">
      <w:pPr>
        <w:rPr>
          <w:b/>
        </w:rPr>
      </w:pPr>
      <w:r w:rsidRPr="00286AEC">
        <w:rPr>
          <w:b/>
        </w:rPr>
        <w:t>Valníková nástavba</w:t>
      </w:r>
    </w:p>
    <w:p w14:paraId="6E0FC298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ložná plocha:</w:t>
      </w:r>
    </w:p>
    <w:p w14:paraId="6DA92911" w14:textId="7F8C1DD9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 xml:space="preserve">délka: </w:t>
      </w:r>
      <w:r w:rsidR="00C74F7B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543F62">
        <w:rPr>
          <w:szCs w:val="20"/>
        </w:rPr>
        <w:t>mm (délka ložné plochy přizpůsobena podvozku)</w:t>
      </w:r>
    </w:p>
    <w:p w14:paraId="0D996817" w14:textId="11098610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 xml:space="preserve">šířka: </w:t>
      </w:r>
      <w:r w:rsidR="00C74F7B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C74F7B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43F62">
        <w:rPr>
          <w:szCs w:val="20"/>
        </w:rPr>
        <w:t>mm</w:t>
      </w:r>
    </w:p>
    <w:p w14:paraId="513AF805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ocelový rám – podélné nosníky</w:t>
      </w:r>
    </w:p>
    <w:p w14:paraId="5E49C476" w14:textId="2D13CB1F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podlaha kryta ocelovým plechem</w:t>
      </w:r>
      <w:r w:rsidR="00C74F7B">
        <w:rPr>
          <w:szCs w:val="20"/>
        </w:rPr>
        <w:t xml:space="preserve"> tl.</w:t>
      </w:r>
      <w:r w:rsidRPr="00543F62">
        <w:rPr>
          <w:szCs w:val="20"/>
        </w:rPr>
        <w:t xml:space="preserve"> </w:t>
      </w:r>
      <w:r w:rsidR="00C74F7B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543F62">
        <w:rPr>
          <w:szCs w:val="20"/>
        </w:rPr>
        <w:t xml:space="preserve"> mm</w:t>
      </w:r>
    </w:p>
    <w:p w14:paraId="4F02CB3E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okrajové C profily s kotevními oky 3 + 3 ks</w:t>
      </w:r>
    </w:p>
    <w:p w14:paraId="393BE456" w14:textId="2D439754" w:rsidR="00663CEF" w:rsidRPr="00591D4A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 xml:space="preserve">aluminiové </w:t>
      </w:r>
      <w:r w:rsidRPr="00591D4A">
        <w:rPr>
          <w:szCs w:val="20"/>
        </w:rPr>
        <w:t>bočnice a zadní čelo vysoké 400 mm dělené, eloxované</w:t>
      </w:r>
    </w:p>
    <w:p w14:paraId="15113FE5" w14:textId="31071BD3" w:rsidR="00663CEF" w:rsidRPr="00591D4A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91D4A">
        <w:rPr>
          <w:szCs w:val="20"/>
        </w:rPr>
        <w:lastRenderedPageBreak/>
        <w:t>bočnice a zadní čelo – spodní závěsy</w:t>
      </w:r>
    </w:p>
    <w:p w14:paraId="49B396C7" w14:textId="77777777" w:rsidR="00663CEF" w:rsidRPr="00591D4A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91D4A">
        <w:rPr>
          <w:szCs w:val="20"/>
        </w:rPr>
        <w:t>zvýšené ocelové přední čelo na 600 mm s kotevními prvky 1 + 1</w:t>
      </w:r>
    </w:p>
    <w:p w14:paraId="09AC1A7A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odnímatelné a výklopné středové a zadní sloupky</w:t>
      </w:r>
    </w:p>
    <w:p w14:paraId="2A80670E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ochranný lem proti VZV</w:t>
      </w:r>
    </w:p>
    <w:p w14:paraId="1AFE486C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reflexní označení, výstražné tabulky</w:t>
      </w:r>
    </w:p>
    <w:p w14:paraId="282D23E3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barevné provedení RAL 2011 (mimo aluminiové části valníkové nástavby)</w:t>
      </w:r>
    </w:p>
    <w:p w14:paraId="66C68E55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 w:val="20"/>
          <w:szCs w:val="20"/>
        </w:rPr>
      </w:pPr>
      <w:r w:rsidRPr="00543F62">
        <w:rPr>
          <w:szCs w:val="20"/>
        </w:rPr>
        <w:t>nástavba vybavena sadou odstavných stojanů</w:t>
      </w:r>
    </w:p>
    <w:p w14:paraId="6A4F4F08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/>
        </w:rPr>
      </w:pPr>
      <w:r w:rsidRPr="00543F62">
        <w:rPr>
          <w:rFonts w:asciiTheme="minorHAnsi" w:hAnsiTheme="minorHAnsi"/>
        </w:rPr>
        <w:t>nástavba vybavena barevnou kamerou pro sledování provozu za vozidlem (monitor umístěn v kabině vozidla) – umístění kamery na nástavbě bude před montáží odsouhlaseno s objednatelem</w:t>
      </w:r>
    </w:p>
    <w:p w14:paraId="62250B6E" w14:textId="0D28FC3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F13F0"/>
    <w:multiLevelType w:val="hybridMultilevel"/>
    <w:tmpl w:val="3808E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A2115"/>
    <w:multiLevelType w:val="hybridMultilevel"/>
    <w:tmpl w:val="DBE46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537155">
    <w:abstractNumId w:val="1"/>
  </w:num>
  <w:num w:numId="2" w16cid:durableId="651711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CEF"/>
    <w:rsid w:val="00024B94"/>
    <w:rsid w:val="0013111A"/>
    <w:rsid w:val="003D2BC2"/>
    <w:rsid w:val="003F09EC"/>
    <w:rsid w:val="004915FD"/>
    <w:rsid w:val="00591D4A"/>
    <w:rsid w:val="00663CEF"/>
    <w:rsid w:val="00C67C6B"/>
    <w:rsid w:val="00C74F7B"/>
    <w:rsid w:val="00D20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34314"/>
  <w15:chartTrackingRefBased/>
  <w15:docId w15:val="{CFE7CCEC-B133-4FB2-A265-42B03D706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3CE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63CEF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663CE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663CEF"/>
    <w:rPr>
      <w:rFonts w:ascii="Calibri" w:eastAsia="Calibri" w:hAnsi="Calibri" w:cs="Times New Roman"/>
    </w:rPr>
  </w:style>
  <w:style w:type="paragraph" w:customStyle="1" w:styleId="Standard">
    <w:name w:val="Standard"/>
    <w:rsid w:val="00663CE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355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8</cp:revision>
  <dcterms:created xsi:type="dcterms:W3CDTF">2023-02-24T20:10:00Z</dcterms:created>
  <dcterms:modified xsi:type="dcterms:W3CDTF">2023-04-17T19:16:00Z</dcterms:modified>
</cp:coreProperties>
</file>