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9162" w14:textId="3412403E" w:rsidR="00E2453B" w:rsidRPr="00E2453B" w:rsidRDefault="00E2453B" w:rsidP="003A0A6A">
      <w:pPr>
        <w:pStyle w:val="Zhlav"/>
        <w:rPr>
          <w:b/>
          <w:sz w:val="24"/>
          <w:u w:val="single"/>
        </w:rPr>
      </w:pPr>
      <w:r w:rsidRPr="00E2453B">
        <w:rPr>
          <w:b/>
          <w:sz w:val="24"/>
          <w:u w:val="single"/>
        </w:rPr>
        <w:t>Příloha ZD č. 2</w:t>
      </w:r>
      <w:r w:rsidR="00CE37C7">
        <w:rPr>
          <w:b/>
          <w:sz w:val="24"/>
          <w:u w:val="single"/>
        </w:rPr>
        <w:t>8</w:t>
      </w:r>
    </w:p>
    <w:p w14:paraId="5D17ACED" w14:textId="75B1C398" w:rsidR="003A0A6A" w:rsidRDefault="003A0A6A" w:rsidP="003A0A6A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 w:rsidR="00282631">
        <w:rPr>
          <w:b/>
          <w:sz w:val="24"/>
        </w:rPr>
        <w:t>6x6</w:t>
      </w:r>
      <w:r>
        <w:rPr>
          <w:b/>
          <w:sz w:val="24"/>
        </w:rPr>
        <w:t xml:space="preserve"> – třístranný sklápěč</w:t>
      </w:r>
    </w:p>
    <w:p w14:paraId="59B8DC1B" w14:textId="39FD2D02" w:rsidR="003A0A6A" w:rsidRDefault="003A0A6A" w:rsidP="003A0A6A">
      <w:pPr>
        <w:pStyle w:val="Zhlav"/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282631">
        <w:rPr>
          <w:b/>
          <w:sz w:val="24"/>
        </w:rPr>
        <w:t xml:space="preserve">9, 10, </w:t>
      </w:r>
      <w:r w:rsidR="00157975">
        <w:rPr>
          <w:b/>
          <w:sz w:val="24"/>
        </w:rPr>
        <w:t>11</w:t>
      </w:r>
      <w:r w:rsidR="00282631">
        <w:rPr>
          <w:b/>
          <w:sz w:val="24"/>
        </w:rPr>
        <w:t>, 16</w:t>
      </w:r>
    </w:p>
    <w:p w14:paraId="7051DAC2" w14:textId="77777777" w:rsidR="003A0A6A" w:rsidRPr="004615C7" w:rsidRDefault="003A0A6A" w:rsidP="003A0A6A">
      <w:pPr>
        <w:pStyle w:val="Zhlav"/>
        <w:rPr>
          <w:b/>
        </w:rPr>
      </w:pPr>
    </w:p>
    <w:p w14:paraId="0F423C71" w14:textId="1A3CB5D3" w:rsidR="003A0A6A" w:rsidRPr="00543F62" w:rsidRDefault="003A0A6A" w:rsidP="003A0A6A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nástavba třístranného sklápěče bude osazena na automobilovém podvozku </w:t>
      </w:r>
      <w:r w:rsidR="00282631">
        <w:rPr>
          <w:szCs w:val="20"/>
        </w:rPr>
        <w:t>6x6</w:t>
      </w:r>
      <w:r w:rsidRPr="00543F62">
        <w:rPr>
          <w:szCs w:val="20"/>
        </w:rPr>
        <w:t>, který je vybaven nosičem pracovních nástaveb jako další výměnná nástavba na nosič nástaveb</w:t>
      </w:r>
    </w:p>
    <w:p w14:paraId="7B15672E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7F244F63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řešen jako výměnná nástavba s odstavením na nohy (4 ks odstavných nohou – součástí dodávky)</w:t>
      </w:r>
    </w:p>
    <w:p w14:paraId="2F067696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rám nástavby: svařenec za studena lisovaných profilů, materiál ocelový plech</w:t>
      </w:r>
    </w:p>
    <w:p w14:paraId="26002871" w14:textId="6C37DBA1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podlaha nástavby: rovná, ocelový plech </w:t>
      </w:r>
      <w:proofErr w:type="gramStart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iCs/>
        </w:rPr>
        <w:t xml:space="preserve"> mm</w:t>
      </w:r>
    </w:p>
    <w:p w14:paraId="6F1C499F" w14:textId="7351EB0E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zadní čelo: rovné, ocelový plech </w:t>
      </w:r>
      <w:proofErr w:type="gramStart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iCs/>
        </w:rPr>
        <w:t xml:space="preserve"> mm, výška čela </w:t>
      </w:r>
      <w:proofErr w:type="gramStart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iCs/>
        </w:rPr>
        <w:t xml:space="preserve"> mm</w:t>
      </w:r>
    </w:p>
    <w:p w14:paraId="2B41390C" w14:textId="6AC9DA50" w:rsidR="003A0A6A" w:rsidRPr="00E2453B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 xml:space="preserve">přední čelo: vybaveno šiltem (ochrannou stříškou), ocelový plech </w:t>
      </w:r>
      <w:proofErr w:type="gramStart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E2453B">
        <w:rPr>
          <w:iCs/>
        </w:rPr>
        <w:t xml:space="preserve"> mm</w:t>
      </w:r>
    </w:p>
    <w:p w14:paraId="1640F8C5" w14:textId="77777777" w:rsidR="003A0A6A" w:rsidRPr="00E2453B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 xml:space="preserve">bočnice nástavby: </w:t>
      </w:r>
    </w:p>
    <w:p w14:paraId="632F3620" w14:textId="0615B74D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 xml:space="preserve">ocelový plech </w:t>
      </w:r>
      <w:proofErr w:type="gramStart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E2453B">
        <w:rPr>
          <w:iCs/>
        </w:rPr>
        <w:t xml:space="preserve"> mm</w:t>
      </w:r>
    </w:p>
    <w:p w14:paraId="1B73639F" w14:textId="6CAE41D5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 xml:space="preserve">výška bočnic </w:t>
      </w:r>
      <w:proofErr w:type="gramStart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EE107D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E2453B">
        <w:rPr>
          <w:iCs/>
        </w:rPr>
        <w:t xml:space="preserve"> mm</w:t>
      </w:r>
    </w:p>
    <w:p w14:paraId="00441861" w14:textId="4F67FBAF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b/>
          <w:bCs/>
          <w:iCs/>
        </w:rPr>
      </w:pPr>
      <w:r w:rsidRPr="00E2453B">
        <w:rPr>
          <w:b/>
          <w:bCs/>
          <w:iCs/>
        </w:rPr>
        <w:t>bez středového sloupku</w:t>
      </w:r>
    </w:p>
    <w:p w14:paraId="5A404A85" w14:textId="1CCFA585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 xml:space="preserve">pravá bočnice (ve směru jízdy) – </w:t>
      </w:r>
      <w:r w:rsidR="00157975" w:rsidRPr="00E2453B">
        <w:rPr>
          <w:iCs/>
        </w:rPr>
        <w:t>podélně dělená</w:t>
      </w:r>
    </w:p>
    <w:p w14:paraId="00364493" w14:textId="3BFB0899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>levá bočnice (ve směru jízdy) – spodní zavěšení (otevírání dolů)</w:t>
      </w:r>
    </w:p>
    <w:p w14:paraId="3CF16C42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nástavba provedena v barvě RAL 2011</w:t>
      </w:r>
    </w:p>
    <w:p w14:paraId="14D2E3F1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nástavba upravena pro odstavení na odstavné nohy </w:t>
      </w:r>
    </w:p>
    <w:p w14:paraId="797F4CBE" w14:textId="4D7713F6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objem nástavby cca </w:t>
      </w:r>
      <w:r w:rsidR="00282631">
        <w:rPr>
          <w:iCs/>
        </w:rPr>
        <w:t>8</w:t>
      </w:r>
      <w:r w:rsidRPr="00543F62">
        <w:rPr>
          <w:iCs/>
        </w:rPr>
        <w:t>,5m3</w:t>
      </w:r>
    </w:p>
    <w:p w14:paraId="23B01E12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krycí plachta (oranžové barvy RAL 2011) včetně vhodného systému (ručního) navíjení plachy – při přepravě sypkých materiálů </w:t>
      </w:r>
    </w:p>
    <w:p w14:paraId="4F7BBE77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91417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A6A"/>
    <w:rsid w:val="00157975"/>
    <w:rsid w:val="00282631"/>
    <w:rsid w:val="003A0A6A"/>
    <w:rsid w:val="004915FD"/>
    <w:rsid w:val="00CE37C7"/>
    <w:rsid w:val="00E2453B"/>
    <w:rsid w:val="00EE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DB75"/>
  <w15:chartTrackingRefBased/>
  <w15:docId w15:val="{F5F1C5BA-B251-4076-AD9A-93E5CC9F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0A6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3A0A6A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A0A6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A0A6A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rsid w:val="003A0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7</cp:revision>
  <dcterms:created xsi:type="dcterms:W3CDTF">2023-02-24T20:21:00Z</dcterms:created>
  <dcterms:modified xsi:type="dcterms:W3CDTF">2023-04-17T19:17:00Z</dcterms:modified>
</cp:coreProperties>
</file>