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028B6F3A" w:rsidR="00127F87" w:rsidRPr="000A7553" w:rsidRDefault="00AB466D" w:rsidP="003E5AFF">
      <w:pPr>
        <w:pStyle w:val="Zhlav"/>
        <w:spacing w:after="120"/>
        <w:jc w:val="center"/>
        <w:rPr>
          <w:b/>
          <w:bCs/>
          <w:color w:val="FF0000"/>
          <w:sz w:val="21"/>
          <w:szCs w:val="21"/>
        </w:rPr>
      </w:pPr>
      <w:r w:rsidRPr="00AB466D">
        <w:rPr>
          <w:b/>
          <w:bCs/>
          <w:i/>
          <w:smallCaps/>
          <w:spacing w:val="30"/>
          <w:sz w:val="36"/>
          <w:szCs w:val="36"/>
          <w:lang w:val="cs-CZ" w:eastAsia="cs-CZ"/>
        </w:rPr>
        <w:t xml:space="preserve">III/43115 Archlebov, most 43115-1 přes místní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503C004A"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 xml:space="preserve">oprava mostu ev.č. </w:t>
      </w:r>
      <w:r w:rsidR="00AB466D">
        <w:rPr>
          <w:bCs/>
          <w:sz w:val="21"/>
          <w:szCs w:val="21"/>
        </w:rPr>
        <w:t>43115-1</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6DACAF98"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ev.č. </w:t>
      </w:r>
      <w:r w:rsidR="00AB466D">
        <w:rPr>
          <w:bCs/>
          <w:sz w:val="21"/>
          <w:szCs w:val="21"/>
        </w:rPr>
        <w:t>43115-1</w:t>
      </w:r>
      <w:r w:rsidR="00AB466D"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EA5D97">
        <w:rPr>
          <w:bCs/>
          <w:sz w:val="21"/>
          <w:szCs w:val="21"/>
        </w:rPr>
        <w:t>III/</w:t>
      </w:r>
      <w:r w:rsidR="00AB466D">
        <w:rPr>
          <w:bCs/>
          <w:sz w:val="21"/>
          <w:szCs w:val="21"/>
        </w:rPr>
        <w:t>43115</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348CD327" w:rsidR="00E04902" w:rsidRPr="0094620A" w:rsidRDefault="00CC46BF" w:rsidP="00251482">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251482">
              <w:rPr>
                <w:b/>
                <w:sz w:val="21"/>
                <w:szCs w:val="21"/>
              </w:rPr>
              <w:t>7</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56736C1D" w:rsidR="0086300E" w:rsidRPr="0094620A" w:rsidRDefault="004A14D9" w:rsidP="00251482">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31.</w:t>
            </w:r>
            <w:r w:rsidR="00251482">
              <w:rPr>
                <w:b/>
                <w:sz w:val="21"/>
                <w:szCs w:val="21"/>
              </w:rPr>
              <w:t>08</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 xml:space="preserve"> proveden</w:t>
      </w:r>
      <w:r w:rsidR="00CD575E">
        <w:rPr>
          <w:sz w:val="21"/>
          <w:szCs w:val="21"/>
        </w:rPr>
        <w:t>é</w:t>
      </w:r>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 xml:space="preserve"> 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7AAB3AC" w:rsidR="00C82FE0" w:rsidRPr="005A69C5" w:rsidRDefault="005A69C5" w:rsidP="00C82FE0">
      <w:pPr>
        <w:pStyle w:val="Zhlav"/>
        <w:spacing w:after="120"/>
        <w:jc w:val="both"/>
        <w:rPr>
          <w:bCs/>
          <w:sz w:val="21"/>
          <w:szCs w:val="21"/>
        </w:rPr>
      </w:pPr>
      <w:r w:rsidRPr="005A69C5">
        <w:rPr>
          <w:bCs/>
          <w:sz w:val="21"/>
          <w:szCs w:val="21"/>
        </w:rPr>
        <w:t xml:space="preserve">Ing. </w:t>
      </w:r>
      <w:r w:rsidR="00EA5D97">
        <w:rPr>
          <w:bCs/>
          <w:sz w:val="21"/>
          <w:szCs w:val="21"/>
          <w:lang w:val="cs-CZ"/>
        </w:rPr>
        <w:t>Martin Bedrava</w:t>
      </w:r>
      <w:r w:rsidR="006F0F77">
        <w:rPr>
          <w:bCs/>
          <w:sz w:val="21"/>
          <w:szCs w:val="21"/>
        </w:rPr>
        <w:t xml:space="preserve">, vedoucí oblasti </w:t>
      </w:r>
      <w:r w:rsidR="00EA5D97">
        <w:rPr>
          <w:bCs/>
          <w:sz w:val="21"/>
          <w:szCs w:val="21"/>
          <w:lang w:val="cs-CZ"/>
        </w:rPr>
        <w:t>Jih</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547 120 950</w:t>
      </w:r>
    </w:p>
    <w:p w14:paraId="385714FB" w14:textId="52EDBA0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A5D97" w:rsidRPr="001D2A9C">
          <w:rPr>
            <w:rStyle w:val="Hypertextovodkaz"/>
            <w:rFonts w:eastAsia="Calibri"/>
            <w:sz w:val="22"/>
            <w:szCs w:val="22"/>
            <w:lang w:eastAsia="en-US"/>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852D49F"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w:t>
      </w:r>
      <w:r w:rsidR="00EA5D97">
        <w:rPr>
          <w:bCs/>
          <w:color w:val="000000" w:themeColor="text1"/>
          <w:sz w:val="21"/>
          <w:szCs w:val="21"/>
        </w:rPr>
        <w:t>Aleš Donát</w:t>
      </w:r>
      <w:r w:rsidR="006F0F77">
        <w:rPr>
          <w:bCs/>
          <w:color w:val="000000" w:themeColor="text1"/>
          <w:sz w:val="21"/>
          <w:szCs w:val="21"/>
        </w:rPr>
        <w:t xml:space="preserve">, mostní inspektor oblasti </w:t>
      </w:r>
      <w:r w:rsidR="00EA5D97">
        <w:rPr>
          <w:bCs/>
          <w:color w:val="000000" w:themeColor="text1"/>
          <w:sz w:val="21"/>
          <w:szCs w:val="21"/>
        </w:rPr>
        <w:t>Jih</w:t>
      </w:r>
    </w:p>
    <w:p w14:paraId="2C99F1DF" w14:textId="4FA3A99A"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A5D97" w:rsidRPr="00EA5D97">
          <w:rPr>
            <w:bCs/>
            <w:sz w:val="21"/>
            <w:szCs w:val="21"/>
          </w:rPr>
          <w:t>ales.donat</w:t>
        </w:r>
        <w:r w:rsidR="005A69C5" w:rsidRPr="00EA5D97">
          <w:rPr>
            <w:bCs/>
            <w:sz w:val="21"/>
            <w:szCs w:val="21"/>
          </w:rPr>
          <w:t>@susjmk.cz</w:t>
        </w:r>
      </w:hyperlink>
      <w:r w:rsidR="006F0F77">
        <w:rPr>
          <w:bCs/>
          <w:color w:val="000000" w:themeColor="text1"/>
          <w:sz w:val="21"/>
          <w:szCs w:val="21"/>
        </w:rPr>
        <w:t>, tel: +420</w:t>
      </w:r>
      <w:r w:rsidR="00EA5D97">
        <w:rPr>
          <w:bCs/>
          <w:color w:val="000000" w:themeColor="text1"/>
          <w:sz w:val="21"/>
          <w:szCs w:val="21"/>
        </w:rPr>
        <w:t>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251482">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251482">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251482">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251482">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251482">
              <w:rPr>
                <w:sz w:val="20"/>
              </w:rPr>
            </w:r>
            <w:r w:rsidR="00251482">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251482">
              <w:rPr>
                <w:sz w:val="22"/>
              </w:rPr>
            </w:r>
            <w:r w:rsidR="00251482">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251482">
              <w:rPr>
                <w:sz w:val="22"/>
              </w:rPr>
            </w:r>
            <w:r w:rsidR="00251482">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24E350C2"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51482">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51482">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59DD439C"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51482">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51482">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5EF8BC4" w:rsidR="00F478DE" w:rsidRPr="00700F92" w:rsidRDefault="00AB466D" w:rsidP="005066B6">
          <w:pPr>
            <w:tabs>
              <w:tab w:val="left" w:pos="810"/>
            </w:tabs>
            <w:rPr>
              <w:b/>
              <w:spacing w:val="20"/>
              <w:sz w:val="21"/>
              <w:szCs w:val="21"/>
            </w:rPr>
          </w:pPr>
          <w:r w:rsidRPr="00AB466D">
            <w:rPr>
              <w:b/>
              <w:bCs/>
              <w:i/>
              <w:smallCaps/>
              <w:spacing w:val="30"/>
              <w:sz w:val="16"/>
              <w:szCs w:val="16"/>
            </w:rPr>
            <w:t>III/43115 Archlebov, most 43115-1 přes místní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194FACB1" w:rsidR="00FD474E" w:rsidRPr="00FD474E" w:rsidRDefault="00AB466D" w:rsidP="00BE7101">
          <w:pPr>
            <w:tabs>
              <w:tab w:val="left" w:pos="810"/>
            </w:tabs>
            <w:rPr>
              <w:b/>
              <w:bCs/>
              <w:i/>
              <w:smallCaps/>
              <w:spacing w:val="30"/>
              <w:sz w:val="16"/>
              <w:szCs w:val="16"/>
              <w:lang w:val="en-US"/>
            </w:rPr>
          </w:pPr>
          <w:r w:rsidRPr="00AB466D">
            <w:rPr>
              <w:b/>
              <w:bCs/>
              <w:i/>
              <w:smallCaps/>
              <w:spacing w:val="30"/>
              <w:sz w:val="16"/>
              <w:szCs w:val="16"/>
            </w:rPr>
            <w:t>III/43115 Archlebov, most 43115-1 přes místní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43252"/>
    <w:rsid w:val="0025148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66D"/>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193D0-0A0C-4568-8D9D-68B45064F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14</Pages>
  <Words>4590</Words>
  <Characters>27086</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43</cp:revision>
  <cp:lastPrinted>2022-07-12T04:59:00Z</cp:lastPrinted>
  <dcterms:created xsi:type="dcterms:W3CDTF">2022-07-18T04:50:00Z</dcterms:created>
  <dcterms:modified xsi:type="dcterms:W3CDTF">2024-04-26T08:47:00Z</dcterms:modified>
</cp:coreProperties>
</file>