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11F9405D" w:rsidR="00076CB6" w:rsidRPr="00F1252B" w:rsidRDefault="00AC2F60" w:rsidP="00C764ED">
      <w:pPr>
        <w:rPr>
          <w:rFonts w:cs="Arial"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25DDA8DA" wp14:editId="7B93F06B">
            <wp:simplePos x="0" y="0"/>
            <wp:positionH relativeFrom="column">
              <wp:posOffset>4769927</wp:posOffset>
            </wp:positionH>
            <wp:positionV relativeFrom="paragraph">
              <wp:posOffset>-539695</wp:posOffset>
            </wp:positionV>
            <wp:extent cx="1011555" cy="467995"/>
            <wp:effectExtent l="0" t="0" r="0" b="8255"/>
            <wp:wrapNone/>
            <wp:docPr id="463198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E72" w:rsidRPr="006A2E72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15DB73F1" wp14:editId="4A982F75">
            <wp:simplePos x="0" y="0"/>
            <wp:positionH relativeFrom="column">
              <wp:posOffset>-57150</wp:posOffset>
            </wp:positionH>
            <wp:positionV relativeFrom="paragraph">
              <wp:posOffset>-542925</wp:posOffset>
            </wp:positionV>
            <wp:extent cx="3848100" cy="467995"/>
            <wp:effectExtent l="0" t="0" r="0" b="8255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r w:rsidR="008F0743" w:rsidRPr="00622E5A">
        <w:rPr>
          <w:rFonts w:cs="Arial"/>
        </w:rPr>
        <w:t>S-NETI 2126/2024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41DB5948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CZ.06.01.01/00/22_009/0002970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5B3DAA1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074810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074810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2FBFA76E" w:rsidR="00076CB6" w:rsidRPr="00FE64EF" w:rsidRDefault="00146A81" w:rsidP="00640794">
      <w:pPr>
        <w:pStyle w:val="Nzev"/>
        <w:rPr>
          <w:sz w:val="28"/>
          <w:szCs w:val="28"/>
        </w:rPr>
      </w:pPr>
      <w:r>
        <w:rPr>
          <w:sz w:val="28"/>
          <w:szCs w:val="28"/>
        </w:rPr>
        <w:t>1.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32B41A76" w14:textId="2D696E26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AC2F60" w:rsidRPr="00CB0F23">
        <w:rPr>
          <w:rStyle w:val="platne"/>
        </w:rPr>
        <w:t>Nemocnice Tišnov, příspěvková organizace</w:t>
      </w:r>
    </w:p>
    <w:p w14:paraId="4267EE91" w14:textId="40899908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AC2F60" w:rsidRPr="005B2952">
        <w:rPr>
          <w:bCs/>
        </w:rPr>
        <w:t>MUDr.</w:t>
      </w:r>
      <w:r w:rsidR="00BE67A4">
        <w:rPr>
          <w:bCs/>
        </w:rPr>
        <w:t xml:space="preserve"> </w:t>
      </w:r>
      <w:r w:rsidR="00AC2F60" w:rsidRPr="005B2952">
        <w:rPr>
          <w:bCs/>
        </w:rPr>
        <w:t>Bořek Semrád</w:t>
      </w:r>
      <w:r w:rsidR="00AC2F60" w:rsidRPr="00220B2E">
        <w:rPr>
          <w:color w:val="000000"/>
        </w:rPr>
        <w:t xml:space="preserve">, </w:t>
      </w:r>
      <w:r w:rsidR="00AC2F60" w:rsidRPr="005B2952">
        <w:rPr>
          <w:color w:val="000000"/>
        </w:rPr>
        <w:t>ředitel nemocnice</w:t>
      </w:r>
    </w:p>
    <w:p w14:paraId="28381861" w14:textId="233FAE09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AC2F60" w:rsidRPr="00CB0F23">
        <w:rPr>
          <w:rStyle w:val="platne"/>
        </w:rPr>
        <w:t>Purkyňova 279, 666 01 Tišnov</w:t>
      </w:r>
    </w:p>
    <w:p w14:paraId="0B0C03B4" w14:textId="02536F6B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="00AC2F60" w:rsidRPr="005B2952">
        <w:t>549 436 032</w:t>
      </w:r>
    </w:p>
    <w:p w14:paraId="66F6C849" w14:textId="0ACFDA2B" w:rsidR="009D3800" w:rsidRDefault="009D3800" w:rsidP="009D3800">
      <w:pPr>
        <w:tabs>
          <w:tab w:val="left" w:pos="2520"/>
        </w:tabs>
      </w:pPr>
      <w:r>
        <w:t>IČ</w:t>
      </w:r>
      <w:r w:rsidR="008F0743">
        <w:t>O</w:t>
      </w:r>
      <w:r>
        <w:t>/DIČ:</w:t>
      </w:r>
      <w:r>
        <w:tab/>
      </w:r>
      <w:r w:rsidR="00AC2F60" w:rsidRPr="0098297C">
        <w:t>44947909</w:t>
      </w:r>
      <w:r>
        <w:t>/</w:t>
      </w:r>
      <w:r w:rsidRPr="00AC2055">
        <w:rPr>
          <w:color w:val="000000"/>
        </w:rPr>
        <w:t>CZ</w:t>
      </w:r>
      <w:r w:rsidR="00AC2F60" w:rsidRPr="0098297C">
        <w:t>44947909</w:t>
      </w:r>
    </w:p>
    <w:p w14:paraId="246E85B1" w14:textId="32578FD4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="00AC2F60" w:rsidRPr="005B2952">
        <w:t>43-6872700247</w:t>
      </w:r>
      <w:r w:rsidR="00AC2F60" w:rsidRPr="00AA21D5">
        <w:t>/0100</w:t>
      </w:r>
    </w:p>
    <w:p w14:paraId="53BF0125" w14:textId="17F07343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  <w:t>d95k6p3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11F6D8EF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5C8E90DF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074810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074810">
        <w:t xml:space="preserve"> o </w:t>
      </w:r>
      <w:r w:rsidR="00CC5826" w:rsidRPr="00FE64EF">
        <w:t>dílo</w:t>
      </w:r>
      <w:r w:rsidR="00074810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7B778D6B" w14:textId="4C79AE85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074810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2FFF62FD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074810">
        <w:t xml:space="preserve"> v </w:t>
      </w:r>
      <w:r w:rsidR="00FC3718">
        <w:t>dodávce</w:t>
      </w:r>
      <w:r w:rsidR="00074810">
        <w:t xml:space="preserve"> a </w:t>
      </w:r>
      <w:r w:rsidR="009D3800">
        <w:t>implementaci</w:t>
      </w:r>
      <w:r w:rsidR="00FC3718">
        <w:t>:</w:t>
      </w:r>
    </w:p>
    <w:p w14:paraId="3380C6EE" w14:textId="25011FEE" w:rsidR="00FC3718" w:rsidRPr="009766C8" w:rsidRDefault="00FC3718">
      <w:pPr>
        <w:pStyle w:val="ANormln"/>
        <w:numPr>
          <w:ilvl w:val="0"/>
          <w:numId w:val="24"/>
        </w:numPr>
        <w:rPr>
          <w:rFonts w:cs="Arial"/>
        </w:rPr>
      </w:pPr>
      <w:bookmarkStart w:id="0" w:name="_Hlk182917782"/>
      <w:r w:rsidRPr="009766C8">
        <w:rPr>
          <w:rFonts w:cs="Arial"/>
          <w:b/>
        </w:rPr>
        <w:t xml:space="preserve">Část: Transakční portál </w:t>
      </w:r>
      <w:bookmarkEnd w:id="0"/>
      <w:r w:rsidRPr="009766C8">
        <w:rPr>
          <w:rFonts w:cs="Arial"/>
          <w:bCs/>
        </w:rPr>
        <w:t>–</w:t>
      </w:r>
      <w:r w:rsidRPr="009766C8">
        <w:rPr>
          <w:rFonts w:cs="Arial"/>
          <w:b/>
        </w:rPr>
        <w:t xml:space="preserve"> </w:t>
      </w:r>
      <w:bookmarkStart w:id="1" w:name="_Hlk182914671"/>
      <w:r w:rsidRPr="009766C8">
        <w:rPr>
          <w:rFonts w:cs="Arial"/>
        </w:rPr>
        <w:t>Transakčního portálu pro sdílení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>výměnu dat mezi informačními systémy Nemocnice Tišnov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>jinými externími systémy.</w:t>
      </w:r>
      <w:bookmarkEnd w:id="1"/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1FAB335E" w:rsidR="00076CB6" w:rsidRDefault="00076CB6" w:rsidP="000B6ABB">
      <w:pPr>
        <w:pStyle w:val="Nadpis2"/>
      </w:pPr>
      <w:r w:rsidRPr="00566DC1">
        <w:t>Podrobná specifikace díla</w:t>
      </w:r>
      <w:r w:rsidR="00074810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074810">
        <w:t xml:space="preserve"> v </w:t>
      </w:r>
      <w:r w:rsidRPr="00566DC1">
        <w:t>souladu</w:t>
      </w:r>
      <w:r w:rsidR="00074810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>Transakční portál pro výměnu dat NT 2024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09995474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074810">
        <w:t xml:space="preserve"> a </w:t>
      </w:r>
      <w:r>
        <w:t>všech</w:t>
      </w:r>
      <w:r w:rsidR="00074810">
        <w:t xml:space="preserve"> z </w:t>
      </w:r>
      <w:r>
        <w:t>toho vyplývajících podmínek</w:t>
      </w:r>
      <w:r w:rsidR="00074810">
        <w:t xml:space="preserve"> a </w:t>
      </w:r>
      <w:r>
        <w:t>povinností podle zadávací dokumentace. Tento závazek je nadřazen ostatním podmínkám uvedeným</w:t>
      </w:r>
      <w:r w:rsidR="00074810">
        <w:t xml:space="preserve"> v </w:t>
      </w:r>
      <w:r>
        <w:t>této smlouvě. Pro vyloučení jakýchkoliv pochybností to znamená, že:</w:t>
      </w:r>
    </w:p>
    <w:p w14:paraId="6669AAD3" w14:textId="41F0F3F4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074810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499AFF63" w:rsidR="00076CB6" w:rsidRDefault="00076CB6" w:rsidP="00C764ED">
      <w:pPr>
        <w:pStyle w:val="Nadpis2"/>
      </w:pPr>
      <w:r>
        <w:t>Objednatel se zavazuje dokončené dílo převzít</w:t>
      </w:r>
      <w:r w:rsidR="00074810">
        <w:t xml:space="preserve"> a </w:t>
      </w:r>
      <w:r>
        <w:t>zaplatit podle podmínek dohodnutých</w:t>
      </w:r>
      <w:r w:rsidR="00074810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6293A03E" w:rsidR="00076CB6" w:rsidRPr="00797D99" w:rsidRDefault="00076CB6" w:rsidP="00C764ED">
      <w:pPr>
        <w:pStyle w:val="Nadpis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F06137">
        <w:rPr>
          <w:b/>
        </w:rPr>
        <w:t>130</w:t>
      </w:r>
      <w:r w:rsidR="00F06137" w:rsidRPr="00797D99">
        <w:rPr>
          <w:b/>
        </w:rPr>
        <w:t xml:space="preserve"> </w:t>
      </w:r>
      <w:r w:rsidRPr="00797D99">
        <w:rPr>
          <w:b/>
        </w:rPr>
        <w:t>pracovních dn</w:t>
      </w:r>
      <w:r w:rsidR="00146A81">
        <w:rPr>
          <w:b/>
        </w:rPr>
        <w:t>í</w:t>
      </w:r>
      <w:r w:rsidRPr="00797D99">
        <w:rPr>
          <w:b/>
        </w:rPr>
        <w:t xml:space="preserve"> </w:t>
      </w:r>
      <w:r w:rsidR="00CC5826" w:rsidRPr="00797D99">
        <w:rPr>
          <w:b/>
        </w:rPr>
        <w:t>od nabytí účinnosti této smlouvy</w:t>
      </w:r>
      <w:r w:rsidR="00CC5826" w:rsidRPr="00797D99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0C62A0E8" w:rsidR="00076CB6" w:rsidRDefault="00076CB6" w:rsidP="00C764ED">
      <w:pPr>
        <w:pStyle w:val="Nadpis2"/>
      </w:pPr>
      <w:r w:rsidRPr="005E141B">
        <w:t>Podrobný harmonogram plnění je uveden</w:t>
      </w:r>
      <w:r w:rsidR="00074810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78E623F8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8B57A8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5452172C" w:rsidR="00C25EC7" w:rsidRPr="007F2327" w:rsidRDefault="00C25EC7" w:rsidP="00C25EC7">
      <w:pPr>
        <w:pStyle w:val="Nadpis2"/>
      </w:pPr>
      <w:bookmarkStart w:id="2" w:name="_Ref235424899"/>
      <w:r w:rsidRPr="007F2327">
        <w:t xml:space="preserve">Místem plnění díla je </w:t>
      </w:r>
      <w:r w:rsidRPr="002B0036">
        <w:t>sídlo</w:t>
      </w:r>
      <w:r w:rsidR="00074810">
        <w:t xml:space="preserve"> a </w:t>
      </w:r>
      <w:r w:rsidRPr="002B0036">
        <w:t>pracoviště Objednatele</w:t>
      </w:r>
      <w:r w:rsidRPr="007F2327">
        <w:t>, nevyplývá-li</w:t>
      </w:r>
      <w:r w:rsidR="00074810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2"/>
      <w:r>
        <w:t>DÍLA</w:t>
      </w:r>
    </w:p>
    <w:p w14:paraId="2C9AF800" w14:textId="6F03D1C5" w:rsidR="00064FDA" w:rsidRPr="009766C8" w:rsidRDefault="00064FDA" w:rsidP="00064FDA">
      <w:pPr>
        <w:pStyle w:val="Nadpis2"/>
        <w:spacing w:before="120"/>
      </w:pPr>
      <w:bookmarkStart w:id="3" w:name="_Toc410395135"/>
      <w:bookmarkStart w:id="4" w:name="_Toc415667952"/>
      <w:bookmarkStart w:id="5" w:name="_Toc422228252"/>
      <w:bookmarkStart w:id="6" w:name="_Toc485827430"/>
      <w:r w:rsidRPr="009766C8">
        <w:t xml:space="preserve">Cena díla </w:t>
      </w:r>
      <w:r w:rsidR="00FC3718" w:rsidRPr="009766C8">
        <w:t xml:space="preserve">pro 1. část </w:t>
      </w:r>
      <w:r w:rsidRPr="009766C8">
        <w:t>je uvedena</w:t>
      </w:r>
      <w:r w:rsidR="00074810">
        <w:t xml:space="preserve"> v </w:t>
      </w:r>
      <w:r w:rsidRPr="009766C8">
        <w:t>následující tabulce</w:t>
      </w:r>
      <w:r w:rsidR="00FC3718" w:rsidRPr="009766C8">
        <w:t>.</w:t>
      </w:r>
    </w:p>
    <w:p w14:paraId="5028E061" w14:textId="1CD9450C" w:rsidR="00076CB6" w:rsidRDefault="00076CB6" w:rsidP="00EF3DD8">
      <w:pPr>
        <w:pStyle w:val="Titulek"/>
        <w:keepNext/>
      </w:pPr>
      <w:r w:rsidRPr="009766C8">
        <w:t xml:space="preserve">Tabulka </w:t>
      </w:r>
      <w:r w:rsidR="000722B1" w:rsidRPr="009766C8">
        <w:fldChar w:fldCharType="begin"/>
      </w:r>
      <w:r w:rsidR="00130C92" w:rsidRPr="009766C8">
        <w:instrText xml:space="preserve"> SEQ Tabulka \* ARABIC </w:instrText>
      </w:r>
      <w:r w:rsidR="000722B1" w:rsidRPr="009766C8">
        <w:fldChar w:fldCharType="separate"/>
      </w:r>
      <w:r w:rsidR="008B57A8">
        <w:rPr>
          <w:noProof/>
        </w:rPr>
        <w:t>1</w:t>
      </w:r>
      <w:r w:rsidR="000722B1" w:rsidRPr="009766C8">
        <w:fldChar w:fldCharType="end"/>
      </w:r>
      <w:r w:rsidRPr="009766C8">
        <w:t xml:space="preserve">: </w:t>
      </w:r>
      <w:bookmarkEnd w:id="3"/>
      <w:bookmarkEnd w:id="4"/>
      <w:bookmarkEnd w:id="5"/>
      <w:bookmarkEnd w:id="6"/>
      <w:r w:rsidR="000C3353" w:rsidRPr="009766C8">
        <w:t>Cena díla</w:t>
      </w:r>
      <w:r w:rsidR="00FC3718" w:rsidRPr="009766C8">
        <w:t xml:space="preserve"> – 1.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A2316D" w:rsidRPr="00802B2B" w14:paraId="354F20DA" w14:textId="77777777" w:rsidTr="00F1798F">
        <w:trPr>
          <w:trHeight w:val="397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D17035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802B2B">
              <w:rPr>
                <w:rFonts w:cs="Arial"/>
                <w:b/>
                <w:sz w:val="16"/>
                <w:szCs w:val="16"/>
              </w:rPr>
              <w:t>P.č</w:t>
            </w:r>
            <w:proofErr w:type="spellEnd"/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6E8965F" w14:textId="602AC2EC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Předmět plnění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3DD8BF6" w14:textId="77777777" w:rsidR="00A2316D" w:rsidRPr="00802B2B" w:rsidRDefault="00A2316D" w:rsidP="003A48BB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A2316D" w:rsidRPr="00802B2B" w14:paraId="3239578A" w14:textId="77777777" w:rsidTr="00F1798F">
        <w:trPr>
          <w:trHeight w:val="39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7AC25C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2325AA5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C68D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7CDF1ECD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6AD93BD" w14:textId="715DF056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09777B" w14:textId="412049BF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A2316D" w:rsidRPr="00802B2B" w14:paraId="325725AB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CE0294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1E9BF145" w14:textId="363830E7" w:rsidR="00A2316D" w:rsidRPr="00802B2B" w:rsidRDefault="00025BB3" w:rsidP="003A48BB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Implementační a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nalýza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="00A2316D" w:rsidRPr="00802B2B">
              <w:rPr>
                <w:rFonts w:cs="Arial"/>
                <w:color w:val="000000"/>
                <w:sz w:val="16"/>
                <w:szCs w:val="16"/>
              </w:rPr>
              <w:t>návrh řešení</w:t>
            </w:r>
            <w:r w:rsidR="00A2316D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5F83963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625C37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1C9B5F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7F00C145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44CCF8A" w14:textId="77777777" w:rsidR="00A2316D" w:rsidRDefault="00A2316D" w:rsidP="003A48BB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21C2B761" w14:textId="60A07D30" w:rsidR="00A2316D" w:rsidRPr="00802B2B" w:rsidRDefault="00A2316D" w:rsidP="003A48BB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Implementace, i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nstalace, konfigurace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4601BA56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B5654A0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9F960BB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43755FDF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B035E0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2B3A934D" w14:textId="77777777" w:rsidR="00A2316D" w:rsidRPr="00802B2B" w:rsidRDefault="00A2316D" w:rsidP="003A48BB">
            <w:pPr>
              <w:spacing w:before="0"/>
              <w:jc w:val="left"/>
              <w:rPr>
                <w:sz w:val="16"/>
                <w:szCs w:val="16"/>
              </w:rPr>
            </w:pPr>
            <w:r w:rsidRPr="00802B2B">
              <w:rPr>
                <w:rFonts w:cs="Arial"/>
                <w:color w:val="000000"/>
                <w:sz w:val="16"/>
                <w:szCs w:val="16"/>
              </w:rPr>
              <w:t>Dodávka Transakčního portálu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0131AE45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9F7308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B0CC1D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281162BE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08EBD72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AA92D7C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Celkem realizace – 1. část</w:t>
            </w:r>
          </w:p>
        </w:tc>
        <w:tc>
          <w:tcPr>
            <w:tcW w:w="1701" w:type="dxa"/>
            <w:vAlign w:val="center"/>
          </w:tcPr>
          <w:p w14:paraId="2742CAB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8685C39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6A6CCF3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316D" w:rsidRPr="00802B2B" w14:paraId="4D507A79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3E05CC0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7F71A499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1. část</w:t>
            </w:r>
          </w:p>
        </w:tc>
        <w:tc>
          <w:tcPr>
            <w:tcW w:w="1701" w:type="dxa"/>
            <w:vAlign w:val="center"/>
          </w:tcPr>
          <w:p w14:paraId="45C4834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EED4B2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069FE6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3E68AC" w14:paraId="7D0CEB1F" w14:textId="77777777" w:rsidTr="00F1798F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3774661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1D3C996" w14:textId="77777777" w:rsidR="00A2316D" w:rsidRPr="003E68AC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1.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94ADF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4EA1C83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4549CB7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1EF4982A" w14:textId="3547C16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074810">
        <w:t xml:space="preserve"> s </w:t>
      </w:r>
      <w:r>
        <w:t>plněním díla. Cenu je možné překročit pouze</w:t>
      </w:r>
      <w:r w:rsidR="00074810">
        <w:t xml:space="preserve"> v </w:t>
      </w:r>
      <w:r>
        <w:t>souvislosti se změnou daňových předpisů týkající se DPH,</w:t>
      </w:r>
      <w:r w:rsidR="00074810">
        <w:t xml:space="preserve"> a </w:t>
      </w:r>
      <w:r>
        <w:t>to nejvýše</w:t>
      </w:r>
      <w:r w:rsidR="00074810">
        <w:t xml:space="preserve"> </w:t>
      </w:r>
      <w:r w:rsidR="00074810">
        <w:lastRenderedPageBreak/>
        <w:t>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7" w:name="_Ref235424816"/>
      <w:r>
        <w:t>PLATEBNÍ PODMÍNKY</w:t>
      </w:r>
      <w:bookmarkEnd w:id="7"/>
    </w:p>
    <w:p w14:paraId="10ACD1F1" w14:textId="61316550" w:rsidR="00076CB6" w:rsidRDefault="00076CB6" w:rsidP="00C764ED">
      <w:pPr>
        <w:pStyle w:val="Nadpis2"/>
      </w:pPr>
      <w:r>
        <w:t>Po realizaci</w:t>
      </w:r>
      <w:r w:rsidR="00074810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A6388F">
        <w:t xml:space="preserve">, tj. etapy dle čl. </w:t>
      </w:r>
      <w:r w:rsidR="00A6388F">
        <w:fldChar w:fldCharType="begin"/>
      </w:r>
      <w:r w:rsidR="00A6388F">
        <w:instrText xml:space="preserve"> REF _Ref187239644 \r \h </w:instrText>
      </w:r>
      <w:r w:rsidR="00A6388F">
        <w:fldChar w:fldCharType="separate"/>
      </w:r>
      <w:r w:rsidR="008B57A8">
        <w:t>7.3</w:t>
      </w:r>
      <w:r w:rsidR="00A6388F">
        <w:fldChar w:fldCharType="end"/>
      </w:r>
      <w:r w:rsidR="00A6388F">
        <w:t>,</w:t>
      </w:r>
      <w:r w:rsidR="00074810">
        <w:t xml:space="preserve"> 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3589C9DB" w:rsidR="00076CB6" w:rsidRDefault="00076CB6" w:rsidP="00C764ED">
      <w:pPr>
        <w:pStyle w:val="Nadpis2"/>
      </w:pPr>
      <w:bookmarkStart w:id="8" w:name="_Hlk194326123"/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="0027733F" w:rsidRPr="0027733F">
        <w:rPr>
          <w:b/>
          <w:bCs w:val="0"/>
        </w:rPr>
        <w:t>1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bookmarkEnd w:id="8"/>
    <w:p w14:paraId="583CFF2C" w14:textId="1F30E88D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074810">
        <w:t xml:space="preserve"> a </w:t>
      </w:r>
      <w:r w:rsidR="00076CB6">
        <w:t>to na základě daňového dokladu – faktury vystavované Zhotovitelem vždy po uplynutí příslušného kvartálu,</w:t>
      </w:r>
      <w:r w:rsidR="00074810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5AAF330C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074810">
        <w:t xml:space="preserve"> o </w:t>
      </w:r>
      <w:r>
        <w:t>dani</w:t>
      </w:r>
      <w:r w:rsidR="00074810">
        <w:t xml:space="preserve"> z </w:t>
      </w:r>
      <w:r>
        <w:t>přidané hodnoty, ve znění pozdějších předpisů účinných</w:t>
      </w:r>
      <w:r w:rsidR="00074810">
        <w:t xml:space="preserve"> v </w:t>
      </w:r>
      <w:r>
        <w:t>době fakturace.</w:t>
      </w:r>
    </w:p>
    <w:p w14:paraId="6401A1A5" w14:textId="6C3109F5" w:rsidR="00076CB6" w:rsidRDefault="00076CB6" w:rsidP="00C764ED">
      <w:pPr>
        <w:pStyle w:val="Nadpis2"/>
      </w:pPr>
      <w:r>
        <w:t>Nebude-li faktura obsahovat stanovené náležitosti, nebo</w:t>
      </w:r>
      <w:r w:rsidR="00074810">
        <w:t xml:space="preserve"> v </w:t>
      </w:r>
      <w:r>
        <w:t>ní nebudou správně uvedené údaje dle smlouvy, je Objednatel oprávněn ji vrátit ve lhůtě splatnosti.</w:t>
      </w:r>
      <w:r w:rsidR="00074810">
        <w:t xml:space="preserve"> V </w:t>
      </w:r>
      <w:r>
        <w:t>takovém případě se přeruší běh lhůty splatnosti</w:t>
      </w:r>
      <w:r w:rsidR="00074810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69266ACB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074810">
        <w:rPr>
          <w:caps w:val="0"/>
        </w:rPr>
        <w:t xml:space="preserve"> A </w:t>
      </w:r>
      <w:bookmarkStart w:id="9" w:name="_Hlk183439489"/>
      <w:r w:rsidR="00BB51A5" w:rsidRPr="00F4535D">
        <w:rPr>
          <w:caps w:val="0"/>
        </w:rPr>
        <w:t>SERVISNÍ PODPORY PROVOZU</w:t>
      </w:r>
      <w:bookmarkEnd w:id="9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45AE7674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074810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8B57A8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281E24E" w:rsidR="00AF2281" w:rsidRDefault="00076CB6" w:rsidP="00A46EE8">
      <w:pPr>
        <w:pStyle w:val="Nadpis2"/>
      </w:pPr>
      <w:bookmarkStart w:id="10" w:name="_Ref187239644"/>
      <w:r>
        <w:t>Předání</w:t>
      </w:r>
      <w:r w:rsidR="00074810">
        <w:t xml:space="preserve"> a </w:t>
      </w:r>
      <w:r>
        <w:t xml:space="preserve">převzetí díla bude provedeno </w:t>
      </w:r>
      <w:r w:rsidR="00AF2281">
        <w:t xml:space="preserve">ve dvou etapách </w:t>
      </w:r>
      <w:r>
        <w:t xml:space="preserve">na základě </w:t>
      </w:r>
      <w:r w:rsidR="00AF2281">
        <w:t>akceptačního řízení, které je uvedeno</w:t>
      </w:r>
      <w:r w:rsidR="00074810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8B57A8">
        <w:t>8</w:t>
      </w:r>
      <w:r w:rsidR="00AF2281">
        <w:fldChar w:fldCharType="end"/>
      </w:r>
      <w:r w:rsidR="00074810">
        <w:t xml:space="preserve"> a </w:t>
      </w:r>
      <w:r>
        <w:t>předávacího protokolu</w:t>
      </w:r>
      <w:r w:rsidR="00EE76CF" w:rsidRPr="00EE76CF">
        <w:t xml:space="preserve"> </w:t>
      </w:r>
      <w:r w:rsidR="00A6388F">
        <w:t xml:space="preserve">podepsaného </w:t>
      </w:r>
      <w:r w:rsidR="00EE76CF">
        <w:t xml:space="preserve">odpovědnými osobami </w:t>
      </w:r>
      <w:r w:rsidR="00D636E5">
        <w:t xml:space="preserve">ve věcech smluvních </w:t>
      </w:r>
      <w:r w:rsidR="00EE76CF">
        <w:t>uvedenými</w:t>
      </w:r>
      <w:r w:rsidR="00074810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8B57A8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smlouvy:</w:t>
      </w:r>
      <w:bookmarkEnd w:id="10"/>
      <w:r w:rsidR="00AF2281" w:rsidRPr="00AF2281">
        <w:t xml:space="preserve"> </w:t>
      </w:r>
    </w:p>
    <w:p w14:paraId="305E6CA3" w14:textId="1383859A" w:rsidR="00076CB6" w:rsidRDefault="00AF2281" w:rsidP="00352A87">
      <w:pPr>
        <w:pStyle w:val="Nadpis2"/>
        <w:numPr>
          <w:ilvl w:val="2"/>
          <w:numId w:val="11"/>
        </w:numPr>
      </w:pPr>
      <w:r>
        <w:t>1. etapa „</w:t>
      </w:r>
      <w:r w:rsidRPr="00AF2281">
        <w:t>Implementační analýza</w:t>
      </w:r>
      <w:r w:rsidR="00074810">
        <w:t xml:space="preserve"> a </w:t>
      </w:r>
      <w:r w:rsidRPr="00AF2281">
        <w:t>návrh řešení</w:t>
      </w:r>
      <w:r>
        <w:t>“</w:t>
      </w:r>
    </w:p>
    <w:p w14:paraId="76482893" w14:textId="6C17A936" w:rsidR="00AF2281" w:rsidRDefault="00AF2281" w:rsidP="00AF2281">
      <w:pPr>
        <w:pStyle w:val="Odstavecseseznamem"/>
        <w:numPr>
          <w:ilvl w:val="0"/>
          <w:numId w:val="17"/>
        </w:numPr>
      </w:pPr>
      <w:r>
        <w:t>Akceptační</w:t>
      </w:r>
      <w:r w:rsidR="00074810">
        <w:t xml:space="preserve"> a </w:t>
      </w:r>
      <w:r>
        <w:t xml:space="preserve">předávací protokol </w:t>
      </w:r>
      <w:r w:rsidRPr="00AF2281">
        <w:t>"Implementační analýza</w:t>
      </w:r>
      <w:r w:rsidR="00074810">
        <w:t xml:space="preserve"> a </w:t>
      </w:r>
      <w:r w:rsidRPr="00AF2281">
        <w:t>návrh řešení"</w:t>
      </w:r>
      <w:r>
        <w:t>.</w:t>
      </w:r>
    </w:p>
    <w:p w14:paraId="4CC5FD22" w14:textId="35DE4D34" w:rsidR="00AF2281" w:rsidRDefault="00AF2281" w:rsidP="00AF2281">
      <w:pPr>
        <w:pStyle w:val="Nadpis2"/>
        <w:numPr>
          <w:ilvl w:val="2"/>
          <w:numId w:val="11"/>
        </w:numPr>
      </w:pPr>
      <w:r>
        <w:t>2. etapa Dodávka díla</w:t>
      </w:r>
    </w:p>
    <w:p w14:paraId="317A7006" w14:textId="17F93FB4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D636E5" w:rsidRPr="00A6388F">
        <w:t>Transakčního portálu</w:t>
      </w:r>
      <w:r w:rsidR="00AF2281">
        <w:t xml:space="preserve"> – Předávací protokol</w:t>
      </w:r>
      <w:r>
        <w:t>;</w:t>
      </w:r>
    </w:p>
    <w:p w14:paraId="4128629B" w14:textId="7DC12510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074810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2BD1D477" w:rsidR="00076CB6" w:rsidRDefault="00387EF5">
      <w:pPr>
        <w:pStyle w:val="Odstavecseseznamem"/>
        <w:numPr>
          <w:ilvl w:val="0"/>
          <w:numId w:val="17"/>
        </w:numPr>
      </w:pPr>
      <w:r w:rsidRPr="00387EF5">
        <w:t>Implementace, instalace, konfigurace a testování</w:t>
      </w:r>
      <w:r>
        <w:t xml:space="preserve"> – </w:t>
      </w:r>
      <w:r w:rsidR="00076CB6">
        <w:t>Protokol</w:t>
      </w:r>
      <w:r w:rsidR="00074810">
        <w:t xml:space="preserve"> o </w:t>
      </w:r>
      <w:r w:rsidR="00076CB6">
        <w:t>úspěšném provedení akceptačních testů.</w:t>
      </w:r>
    </w:p>
    <w:p w14:paraId="6AC7275E" w14:textId="53B1E2B1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074810">
        <w:t xml:space="preserve"> a </w:t>
      </w:r>
      <w:r>
        <w:t>služeb se zadávací dokumentací této veřejné zakázky</w:t>
      </w:r>
      <w:r w:rsidR="00074810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8B57A8">
        <w:t>15.5</w:t>
      </w:r>
      <w:r w:rsidR="00CC5826">
        <w:fldChar w:fldCharType="end"/>
      </w:r>
      <w:r w:rsidR="00CC5826">
        <w:t>.</w:t>
      </w:r>
    </w:p>
    <w:p w14:paraId="753E3F66" w14:textId="7A919853" w:rsidR="00076CB6" w:rsidRDefault="00076CB6" w:rsidP="00C764ED">
      <w:pPr>
        <w:pStyle w:val="Nadpis2"/>
      </w:pPr>
      <w:r>
        <w:t>Drobné vady</w:t>
      </w:r>
      <w:r w:rsidR="00074810">
        <w:t xml:space="preserve"> a </w:t>
      </w:r>
      <w:r>
        <w:t>nedodělky, které nebrání řádnému užívání díla, budou uvedeny</w:t>
      </w:r>
      <w:r w:rsidR="00074810">
        <w:t xml:space="preserve"> v </w:t>
      </w:r>
      <w:r>
        <w:t>předávacím protokolu spolu</w:t>
      </w:r>
      <w:r w:rsidR="00074810">
        <w:t xml:space="preserve"> s </w:t>
      </w:r>
      <w:r>
        <w:t>dohodnutým způsobem</w:t>
      </w:r>
      <w:r w:rsidR="00074810">
        <w:t xml:space="preserve"> a </w:t>
      </w:r>
      <w:r>
        <w:t>termínem jejich odstranění. Takovéto vady</w:t>
      </w:r>
      <w:r w:rsidR="00074810">
        <w:t xml:space="preserve"> a </w:t>
      </w:r>
      <w:r>
        <w:t>nedodělky nejsou důvodem</w:t>
      </w:r>
      <w:r w:rsidR="00074810">
        <w:t xml:space="preserve"> k </w:t>
      </w:r>
      <w:r>
        <w:t>odmítnutí převzetí</w:t>
      </w:r>
      <w:r w:rsidR="00074810">
        <w:t xml:space="preserve"> a </w:t>
      </w:r>
      <w:r>
        <w:t>zaplacení díla Objednatelem.</w:t>
      </w:r>
      <w:r w:rsidR="00074810">
        <w:t xml:space="preserve"> V </w:t>
      </w:r>
      <w:r>
        <w:t>případě nedodržení dohodnutého termínu</w:t>
      </w:r>
      <w:r w:rsidR="00074810">
        <w:t xml:space="preserve"> </w:t>
      </w:r>
      <w:r w:rsidR="00074810">
        <w:lastRenderedPageBreak/>
        <w:t>k </w:t>
      </w:r>
      <w:r>
        <w:t>odstranění těchto vad</w:t>
      </w:r>
      <w:r w:rsidR="00074810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8B57A8">
        <w:t>10</w:t>
      </w:r>
      <w:r w:rsidR="00721E21">
        <w:fldChar w:fldCharType="end"/>
      </w:r>
      <w:r>
        <w:t>. této smlouvy.</w:t>
      </w:r>
    </w:p>
    <w:p w14:paraId="70132ECD" w14:textId="1DCF7561" w:rsidR="00076CB6" w:rsidRDefault="00076CB6" w:rsidP="00C764ED">
      <w:pPr>
        <w:pStyle w:val="Nadpis2"/>
      </w:pPr>
      <w:r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074810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074810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074810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57BD880E" w:rsidR="00BB51A5" w:rsidRPr="00BB51A5" w:rsidRDefault="00BB51A5" w:rsidP="00BB51A5">
      <w:pPr>
        <w:pStyle w:val="Nadpis2"/>
      </w:pPr>
      <w:bookmarkStart w:id="11" w:name="_Hlk184207319"/>
      <w:bookmarkStart w:id="12" w:name="_Hlk183439499"/>
      <w:r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074810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074810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8B57A8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11"/>
      <w:bookmarkEnd w:id="12"/>
      <w:r w:rsidR="00074810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08B0093A" w:rsidR="00076CB6" w:rsidRDefault="00076CB6" w:rsidP="00C764ED">
      <w:pPr>
        <w:pStyle w:val="Nadpis1"/>
      </w:pPr>
      <w:bookmarkStart w:id="13" w:name="_Ref184803190"/>
      <w:r>
        <w:t xml:space="preserve">AKCEPTAČNÍ </w:t>
      </w:r>
      <w:bookmarkEnd w:id="13"/>
      <w:r w:rsidR="00DB7F72">
        <w:rPr>
          <w:caps w:val="0"/>
        </w:rPr>
        <w:t>ŘÍZENÍ</w:t>
      </w:r>
    </w:p>
    <w:p w14:paraId="7129F6EB" w14:textId="00C46BE6" w:rsidR="00076CB6" w:rsidRDefault="00076CB6" w:rsidP="000F6DFB">
      <w:pPr>
        <w:pStyle w:val="Nadpis2"/>
      </w:pPr>
      <w:r>
        <w:t xml:space="preserve">Akceptační </w:t>
      </w:r>
      <w:r w:rsidR="005F7161">
        <w:t xml:space="preserve">řízení bude </w:t>
      </w:r>
      <w:r w:rsidR="00DB7F72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074810">
        <w:t>s </w:t>
      </w:r>
      <w:r>
        <w:t>využitím specifikace požadavků uvedených</w:t>
      </w:r>
      <w:r w:rsidR="00074810">
        <w:t xml:space="preserve"> v </w:t>
      </w:r>
      <w:r>
        <w:t>zadávací dokumentaci</w:t>
      </w:r>
      <w:r w:rsidR="00074810">
        <w:t xml:space="preserve"> a </w:t>
      </w:r>
      <w:r w:rsidR="005F7161">
        <w:t>nabídce účastníka</w:t>
      </w:r>
      <w:r>
        <w:t>:</w:t>
      </w:r>
    </w:p>
    <w:p w14:paraId="7C4A170F" w14:textId="3F4FF314" w:rsidR="005F7161" w:rsidRPr="00352A87" w:rsidRDefault="005F7161" w:rsidP="005F7161">
      <w:pPr>
        <w:pStyle w:val="Nadpis2"/>
      </w:pPr>
      <w:bookmarkStart w:id="14" w:name="_Ref401401397"/>
      <w:r w:rsidRPr="00352A87">
        <w:rPr>
          <w:rFonts w:cs="Arial"/>
          <w:b/>
          <w:bCs w:val="0"/>
        </w:rPr>
        <w:t>1.</w:t>
      </w:r>
      <w:r w:rsidRPr="00352A87">
        <w:rPr>
          <w:rFonts w:cs="Arial"/>
        </w:rPr>
        <w:t xml:space="preserve"> </w:t>
      </w:r>
      <w:r w:rsidRPr="00352A87">
        <w:rPr>
          <w:rFonts w:cs="Arial"/>
          <w:b/>
          <w:bCs w:val="0"/>
        </w:rPr>
        <w:t>etapa</w:t>
      </w:r>
      <w:r w:rsidRPr="00352A87">
        <w:rPr>
          <w:rFonts w:cs="Arial"/>
        </w:rPr>
        <w:t xml:space="preserve"> – </w:t>
      </w:r>
      <w:bookmarkStart w:id="15" w:name="_Hlk184803676"/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bookmarkEnd w:id="15"/>
      <w:r w:rsidRPr="00352A87">
        <w:rPr>
          <w:rFonts w:cs="Arial"/>
        </w:rPr>
        <w:t>:</w:t>
      </w:r>
    </w:p>
    <w:p w14:paraId="41638273" w14:textId="445B27DD" w:rsidR="005F7161" w:rsidRPr="0058487C" w:rsidRDefault="005F7161" w:rsidP="005F7161">
      <w:pPr>
        <w:pStyle w:val="Odstavecseseznamem"/>
        <w:numPr>
          <w:ilvl w:val="0"/>
          <w:numId w:val="20"/>
        </w:numPr>
        <w:spacing w:before="120"/>
        <w:contextualSpacing w:val="0"/>
        <w:rPr>
          <w:rFonts w:cs="Arial"/>
        </w:rPr>
      </w:pPr>
      <w:r>
        <w:rPr>
          <w:rFonts w:cs="Arial"/>
        </w:rPr>
        <w:t>Zadavatel posoudí</w:t>
      </w:r>
      <w:r w:rsidR="00074810">
        <w:rPr>
          <w:rFonts w:cs="Arial"/>
        </w:rPr>
        <w:t xml:space="preserve"> a </w:t>
      </w:r>
      <w:r>
        <w:rPr>
          <w:rFonts w:cs="Arial"/>
        </w:rPr>
        <w:t xml:space="preserve">schválí </w:t>
      </w:r>
      <w:r w:rsidRPr="005F7161">
        <w:rPr>
          <w:rFonts w:cs="Arial"/>
        </w:rPr>
        <w:t>Implementační analýz</w:t>
      </w:r>
      <w:r>
        <w:rPr>
          <w:rFonts w:cs="Arial"/>
        </w:rPr>
        <w:t>u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</w:t>
      </w:r>
      <w:r w:rsidRPr="0058487C">
        <w:rPr>
          <w:rFonts w:cs="Arial"/>
        </w:rPr>
        <w:t>–</w:t>
      </w:r>
      <w:r>
        <w:rPr>
          <w:rFonts w:cs="Arial"/>
        </w:rPr>
        <w:t xml:space="preserve"> 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>
        <w:t>nabídce účastníka</w:t>
      </w:r>
      <w:r w:rsidRPr="0058487C">
        <w:rPr>
          <w:rFonts w:cs="Arial"/>
        </w:rPr>
        <w:t>, kritérium úspěšné akceptace:</w:t>
      </w:r>
    </w:p>
    <w:p w14:paraId="2190541D" w14:textId="216FC865" w:rsidR="005F7161" w:rsidRDefault="005F7161" w:rsidP="005F716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splňuje požadavky zadavatele</w:t>
      </w:r>
      <w:r w:rsidRPr="00255F11">
        <w:rPr>
          <w:rFonts w:cs="Arial"/>
        </w:rPr>
        <w:t>.</w:t>
      </w:r>
    </w:p>
    <w:p w14:paraId="71F2998B" w14:textId="2DAD19F0" w:rsidR="000B6ABB" w:rsidRPr="00352A87" w:rsidRDefault="005F7161" w:rsidP="000B6ABB">
      <w:pPr>
        <w:pStyle w:val="Nadpis2"/>
      </w:pPr>
      <w:r w:rsidRPr="00352A87">
        <w:rPr>
          <w:rFonts w:cs="Arial"/>
          <w:b/>
          <w:bCs w:val="0"/>
        </w:rPr>
        <w:t xml:space="preserve">2. etapa </w:t>
      </w:r>
      <w:r w:rsidR="008A504C" w:rsidRPr="00352A87">
        <w:rPr>
          <w:rFonts w:cs="Arial"/>
        </w:rPr>
        <w:t>– Test splnění požadavků na dílo:</w:t>
      </w:r>
    </w:p>
    <w:p w14:paraId="02F95339" w14:textId="5780D62C" w:rsidR="000B6ABB" w:rsidRPr="0058487C" w:rsidRDefault="000B6ABB" w:rsidP="00352A87">
      <w:pPr>
        <w:pStyle w:val="Odstavecseseznamem"/>
        <w:numPr>
          <w:ilvl w:val="0"/>
          <w:numId w:val="29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 xml:space="preserve">Test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="00AC2F60">
        <w:rPr>
          <w:rFonts w:cs="Arial"/>
        </w:rPr>
        <w:t xml:space="preserve"> </w:t>
      </w:r>
      <w:r w:rsidRPr="0058487C">
        <w:rPr>
          <w:rFonts w:cs="Arial"/>
        </w:rPr>
        <w:t>–</w:t>
      </w:r>
      <w:r w:rsidR="00A2316D">
        <w:rPr>
          <w:rFonts w:cs="Arial"/>
        </w:rPr>
        <w:t xml:space="preserve"> </w:t>
      </w:r>
      <w:r>
        <w:rPr>
          <w:rFonts w:cs="Arial"/>
        </w:rPr>
        <w:t>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 w:rsidR="005F7161">
        <w:t>nabídce účastníka</w:t>
      </w:r>
      <w:r w:rsidRPr="0058487C">
        <w:rPr>
          <w:rFonts w:cs="Arial"/>
        </w:rPr>
        <w:t>, kritérium úspěšné akceptace:</w:t>
      </w:r>
    </w:p>
    <w:p w14:paraId="33C78014" w14:textId="26102CDD" w:rsidR="00255F11" w:rsidRDefault="00255F11" w:rsidP="00255F1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Pr="00255F11">
        <w:rPr>
          <w:rFonts w:cs="Arial"/>
        </w:rPr>
        <w:t xml:space="preserve"> dle požadavku Objednavatele.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3008A774" w:rsidR="00076CB6" w:rsidRDefault="00076CB6" w:rsidP="00C764ED">
      <w:pPr>
        <w:pStyle w:val="Nadpis2"/>
      </w:pPr>
      <w:r>
        <w:t>Vlastnické právo</w:t>
      </w:r>
      <w:r w:rsidR="00074810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6659808" w:rsidR="00076CB6" w:rsidRDefault="00076CB6" w:rsidP="00C764ED">
      <w:pPr>
        <w:pStyle w:val="Nadpis2"/>
      </w:pPr>
      <w:r>
        <w:t>Objednatel uznává, že autorská práva</w:t>
      </w:r>
      <w:r w:rsidR="00074810">
        <w:t xml:space="preserve"> a </w:t>
      </w:r>
      <w:r>
        <w:t>práva průmyslového vlastnictví</w:t>
      </w:r>
      <w:r w:rsidR="00074810">
        <w:t xml:space="preserve"> k </w:t>
      </w:r>
      <w:r>
        <w:t>předanému software, zahrnující zejména počítačové programy nebo SW moduly, náleží Zhotoviteli nebo</w:t>
      </w:r>
      <w:r w:rsidR="00074810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074810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0F48C98" w:rsidR="00076CB6" w:rsidRDefault="00076CB6" w:rsidP="00C764ED">
      <w:pPr>
        <w:pStyle w:val="Nadpis1"/>
      </w:pPr>
      <w:bookmarkStart w:id="16" w:name="_Ref484168642"/>
      <w:r>
        <w:t>PRODLENÍ</w:t>
      </w:r>
      <w:r w:rsidR="00074810">
        <w:t xml:space="preserve"> A </w:t>
      </w:r>
      <w:r>
        <w:t>SANKCE</w:t>
      </w:r>
      <w:bookmarkEnd w:id="14"/>
      <w:bookmarkEnd w:id="16"/>
    </w:p>
    <w:p w14:paraId="423CFBB6" w14:textId="112A25A6" w:rsidR="00076CB6" w:rsidRDefault="00076CB6" w:rsidP="00C764ED">
      <w:pPr>
        <w:pStyle w:val="Nadpis2"/>
      </w:pPr>
      <w:r>
        <w:t>V případě prodlení Zhotovitele</w:t>
      </w:r>
      <w:r w:rsidR="00074810">
        <w:t xml:space="preserve"> s </w:t>
      </w:r>
      <w:r>
        <w:t>plněním díla nebo</w:t>
      </w:r>
      <w:r w:rsidR="00074810">
        <w:t xml:space="preserve"> v </w:t>
      </w:r>
      <w:r>
        <w:t>případě neodstranění vad</w:t>
      </w:r>
      <w:r w:rsidR="00074810">
        <w:t xml:space="preserve"> a </w:t>
      </w:r>
      <w:r>
        <w:t>nedodělků</w:t>
      </w:r>
      <w:r w:rsidR="00074810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074810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3CA3EE7F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074810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074810">
        <w:t xml:space="preserve"> z </w:t>
      </w:r>
      <w:r w:rsidRPr="00A02185">
        <w:t>prodlení</w:t>
      </w:r>
      <w:r w:rsidR="00074810">
        <w:t xml:space="preserve"> a </w:t>
      </w:r>
      <w:r w:rsidRPr="00A02185">
        <w:t>nákladů spojených</w:t>
      </w:r>
      <w:r w:rsidR="00074810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7640B761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074810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8B57A8">
        <w:t>13.12</w:t>
      </w:r>
      <w:r w:rsidR="00F92E9E">
        <w:fldChar w:fldCharType="end"/>
      </w:r>
      <w:r w:rsidR="00F92E9E">
        <w:t xml:space="preserve"> </w:t>
      </w:r>
      <w:bookmarkStart w:id="17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8B57A8">
        <w:t>17.6</w:t>
      </w:r>
      <w:r w:rsidR="00696F11">
        <w:fldChar w:fldCharType="end"/>
      </w:r>
      <w:r w:rsidR="00696F11">
        <w:t xml:space="preserve"> </w:t>
      </w:r>
      <w:bookmarkEnd w:id="17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730BADC1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8B57A8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669F6D92" w:rsidR="006F42BF" w:rsidRDefault="006F42BF" w:rsidP="006F42BF">
      <w:pPr>
        <w:pStyle w:val="Nadpis2"/>
      </w:pPr>
      <w:r w:rsidRPr="005E0A22">
        <w:lastRenderedPageBreak/>
        <w:t xml:space="preserve">Pokud Zhotovitel </w:t>
      </w:r>
      <w:r>
        <w:t>poruší povinnosti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8B57A8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8B57A8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100.000,- Kč za každý jednotlivý případ porušení,</w:t>
      </w:r>
      <w:r w:rsidR="00074810">
        <w:t xml:space="preserve"> a </w:t>
      </w:r>
      <w:r w:rsidRPr="006F42BF">
        <w:t>to</w:t>
      </w:r>
      <w:r w:rsidR="00074810">
        <w:t xml:space="preserve"> i </w:t>
      </w:r>
      <w:r w:rsidRPr="006F42BF">
        <w:t>opakovaně.</w:t>
      </w:r>
    </w:p>
    <w:p w14:paraId="0064391B" w14:textId="77777777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 ani omezen nárok na náhradu vzniklé škody.</w:t>
      </w:r>
    </w:p>
    <w:p w14:paraId="1FEF78DB" w14:textId="6DDF6C85" w:rsidR="00076CB6" w:rsidRDefault="00076CB6" w:rsidP="00C764ED">
      <w:pPr>
        <w:pStyle w:val="Nadpis2"/>
      </w:pPr>
      <w:r>
        <w:t>Výše smluvních pokut je vzhledem</w:t>
      </w:r>
      <w:r w:rsidR="00074810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31DDCED4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074810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ACD42D" w:rsidR="00076CB6" w:rsidRDefault="00076CB6" w:rsidP="00C764ED">
      <w:pPr>
        <w:pStyle w:val="Nadpis2"/>
      </w:pPr>
      <w:r>
        <w:t>Každá ze smluvních stran nese odpovědnost za způsobenou škodu</w:t>
      </w:r>
      <w:r w:rsidR="00074810">
        <w:t xml:space="preserve"> v </w:t>
      </w:r>
      <w:r>
        <w:t>rámci platných právních předpisů</w:t>
      </w:r>
      <w:r w:rsidR="00074810">
        <w:t xml:space="preserve"> a </w:t>
      </w:r>
      <w:r>
        <w:t>smlouvy. Zhotovitel plně odpovídá za splnění smlouvy rovněž</w:t>
      </w:r>
      <w:r w:rsidR="00074810">
        <w:t xml:space="preserve"> v </w:t>
      </w:r>
      <w:r>
        <w:t>případě, že příslušnou část plnění poskytuje prostřednictvím třetí osoby (poddodavatele).</w:t>
      </w:r>
    </w:p>
    <w:p w14:paraId="18358C91" w14:textId="398F4810" w:rsidR="00076CB6" w:rsidRDefault="00076CB6" w:rsidP="00C764ED">
      <w:pPr>
        <w:pStyle w:val="Nadpis2"/>
      </w:pPr>
      <w:r>
        <w:t>Obě strany se zavazují</w:t>
      </w:r>
      <w:r w:rsidR="00074810">
        <w:t xml:space="preserve"> k </w:t>
      </w:r>
      <w:r>
        <w:t>vyvinutí maximálního úsilí předcházení škodám</w:t>
      </w:r>
      <w:r w:rsidR="00074810">
        <w:t xml:space="preserve"> a k </w:t>
      </w:r>
      <w:r>
        <w:t>minimalizaci vzniklých škod.</w:t>
      </w:r>
    </w:p>
    <w:p w14:paraId="595E59CF" w14:textId="6A2B72DB" w:rsidR="00076CB6" w:rsidRDefault="00076CB6" w:rsidP="00C764ED">
      <w:pPr>
        <w:pStyle w:val="Nadpis2"/>
      </w:pPr>
      <w:r>
        <w:t>Žádná ze smluvních stran neodpovídá za škodu, která vznikla</w:t>
      </w:r>
      <w:r w:rsidR="00074810">
        <w:t xml:space="preserve"> v </w:t>
      </w:r>
      <w:r>
        <w:t>důsledku věcně nesprávného nebo jinak chybného zadání, které obdržela od druhé smluvní strany.</w:t>
      </w:r>
      <w:r w:rsidR="00074810">
        <w:t xml:space="preserve"> V </w:t>
      </w:r>
      <w:r>
        <w:t>případě, že Objednatel poskytl Zhotoviteli chybné zadání nebo pokyn</w:t>
      </w:r>
      <w:r w:rsidR="00074810">
        <w:t xml:space="preserve"> a </w:t>
      </w:r>
      <w:r>
        <w:t>Zhotovitel</w:t>
      </w:r>
      <w:r w:rsidR="00074810">
        <w:t xml:space="preserve"> s </w:t>
      </w:r>
      <w:r>
        <w:t>ohledem na svou povinnost poskytovat plnění</w:t>
      </w:r>
      <w:r w:rsidR="00074810">
        <w:t xml:space="preserve"> s </w:t>
      </w:r>
      <w:r>
        <w:t>odbornou péčí mohl</w:t>
      </w:r>
      <w:r w:rsidR="00074810">
        <w:t xml:space="preserve"> a </w:t>
      </w:r>
      <w:r>
        <w:t>měl chybnost takového zadání nebo pokynu zjistit, smí se ustanovení předchozí věty dovolávat pouze</w:t>
      </w:r>
      <w:r w:rsidR="00074810">
        <w:t xml:space="preserve"> v </w:t>
      </w:r>
      <w:r>
        <w:t>případě, že na chybné zadání Objednatele písemně upozornil</w:t>
      </w:r>
      <w:r w:rsidR="00074810">
        <w:t xml:space="preserve"> a </w:t>
      </w:r>
      <w:r>
        <w:t>Objednatel trval na původním zadání. Žádná ze smluvních stran není odpovědná za nesplnění svého závazku</w:t>
      </w:r>
      <w:r w:rsidR="00074810">
        <w:t xml:space="preserve"> v </w:t>
      </w:r>
      <w:r>
        <w:t>důsledku prodlení druhé smluvní strany smlouvy.</w:t>
      </w:r>
    </w:p>
    <w:p w14:paraId="13A850D0" w14:textId="15E4F599" w:rsidR="00076CB6" w:rsidRDefault="00076CB6" w:rsidP="00C764ED">
      <w:pPr>
        <w:pStyle w:val="Nadpis2"/>
      </w:pPr>
      <w:r>
        <w:t>Každá ze smluvních stran je oprávněna požadovat náhradu škody</w:t>
      </w:r>
      <w:r w:rsidR="00074810">
        <w:t xml:space="preserve"> i v </w:t>
      </w:r>
      <w:r>
        <w:t>případě, že se jedná</w:t>
      </w:r>
      <w:r w:rsidR="00074810">
        <w:t xml:space="preserve"> o </w:t>
      </w:r>
      <w:r>
        <w:t>porušení povinnosti, na kterou se vztahuje smluvní pokuta,</w:t>
      </w:r>
      <w:r w:rsidR="00074810">
        <w:t xml:space="preserve"> a </w:t>
      </w:r>
      <w:r>
        <w:t>to</w:t>
      </w:r>
      <w:r w:rsidR="00074810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6355163D" w:rsidR="00076CB6" w:rsidRDefault="00076CB6" w:rsidP="00C764ED">
      <w:pPr>
        <w:pStyle w:val="Nadpis2"/>
      </w:pPr>
      <w:r>
        <w:t>Smluvní strana je</w:t>
      </w:r>
      <w:r w:rsidR="00074810">
        <w:t xml:space="preserve"> v </w:t>
      </w:r>
      <w:r>
        <w:t>prodlení</w:t>
      </w:r>
      <w:r w:rsidR="00074810">
        <w:t xml:space="preserve"> s </w:t>
      </w:r>
      <w:r>
        <w:t>plněním svého závazku, který pro smluvní stranu vyplývá ze smlouvy anebo platných právních předpisů, jestliže je nesplní řádně</w:t>
      </w:r>
      <w:r w:rsidR="00074810">
        <w:t xml:space="preserve"> a </w:t>
      </w:r>
      <w:r>
        <w:t>včas.</w:t>
      </w:r>
    </w:p>
    <w:p w14:paraId="6265A0BD" w14:textId="06BAE55C" w:rsidR="00076CB6" w:rsidRDefault="00076CB6" w:rsidP="00C764ED">
      <w:pPr>
        <w:pStyle w:val="Nadpis2"/>
      </w:pPr>
      <w:r>
        <w:t>Případná náhrada škody bude zaplacena</w:t>
      </w:r>
      <w:r w:rsidR="00074810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8" w:name="_Ref488328173"/>
      <w:r>
        <w:t>ZÁRUČNÍ PODMÍNKY</w:t>
      </w:r>
      <w:bookmarkEnd w:id="18"/>
    </w:p>
    <w:p w14:paraId="4119DE8E" w14:textId="020D9655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074810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9766C8">
        <w:rPr>
          <w:b/>
          <w:bCs w:val="0"/>
        </w:rPr>
        <w:t>1. část</w:t>
      </w:r>
      <w:r w:rsidR="005571F4" w:rsidRPr="00BA5662">
        <w:t xml:space="preserve"> </w:t>
      </w:r>
      <w:r w:rsidR="00C25EC7" w:rsidRPr="00BA5662">
        <w:rPr>
          <w:b/>
        </w:rPr>
        <w:t>24</w:t>
      </w:r>
      <w:r w:rsidRPr="00BA5662">
        <w:rPr>
          <w:b/>
        </w:rPr>
        <w:t xml:space="preserve"> měsíců</w:t>
      </w:r>
      <w:r w:rsidR="00BE67A4" w:rsidRPr="00BA5662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36715EA0" w:rsidR="00076CB6" w:rsidRDefault="00076CB6" w:rsidP="00C764ED">
      <w:pPr>
        <w:pStyle w:val="Nadpis2"/>
      </w:pPr>
      <w:r>
        <w:t>Zhotovitel odpovídá za vady, které mělo dílo</w:t>
      </w:r>
      <w:r w:rsidR="00074810">
        <w:t xml:space="preserve"> v </w:t>
      </w:r>
      <w:r>
        <w:t>době podpisu předávacího protokolu,</w:t>
      </w:r>
      <w:r w:rsidR="00074810">
        <w:t xml:space="preserve"> i </w:t>
      </w:r>
      <w:r>
        <w:t>když se vada stala zjevnou až později,</w:t>
      </w:r>
      <w:r w:rsidR="00074810">
        <w:t xml:space="preserve"> a </w:t>
      </w:r>
      <w:r>
        <w:t>dále za vady vzniklé</w:t>
      </w:r>
      <w:r w:rsidR="00074810">
        <w:t xml:space="preserve"> v </w:t>
      </w:r>
      <w:r>
        <w:t xml:space="preserve">průběhu záruční doby. </w:t>
      </w:r>
    </w:p>
    <w:p w14:paraId="03955498" w14:textId="707C6A24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074810">
        <w:t xml:space="preserve"> a </w:t>
      </w:r>
      <w:r>
        <w:t>technickými normami požadované nebo obvyklé</w:t>
      </w:r>
      <w:r w:rsidR="00074810">
        <w:t xml:space="preserve"> s </w:t>
      </w:r>
      <w:r>
        <w:t xml:space="preserve">ohledem na účel užívání. </w:t>
      </w:r>
    </w:p>
    <w:p w14:paraId="12DAF149" w14:textId="3D465446" w:rsidR="00076CB6" w:rsidRDefault="00076CB6" w:rsidP="00C764ED">
      <w:pPr>
        <w:pStyle w:val="Nadpis2"/>
      </w:pPr>
      <w:r>
        <w:t>Objednatel je povinen případný výskyt závady</w:t>
      </w:r>
      <w:r w:rsidR="00074810">
        <w:t xml:space="preserve"> v </w:t>
      </w:r>
      <w:r>
        <w:t>záruční době oznámit Zhotoviteli písemně na linku zákaznické podpory uvedené</w:t>
      </w:r>
      <w:r w:rsidR="00074810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8B57A8">
        <w:t>13.6</w:t>
      </w:r>
      <w:r w:rsidR="00721E21">
        <w:fldChar w:fldCharType="end"/>
      </w:r>
      <w:r>
        <w:t>.</w:t>
      </w:r>
    </w:p>
    <w:p w14:paraId="74673B7B" w14:textId="42407C49" w:rsidR="00076CB6" w:rsidRDefault="00076CB6" w:rsidP="00C764ED">
      <w:pPr>
        <w:pStyle w:val="Nadpis2"/>
      </w:pPr>
      <w:r>
        <w:t>V případě výskytu vady na díle</w:t>
      </w:r>
      <w:r w:rsidR="00074810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1D20D598" w14:textId="77777777" w:rsidR="00130C92" w:rsidRDefault="00076CB6" w:rsidP="00130C9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4428F693" w14:textId="7141B573" w:rsidR="00130C92" w:rsidRDefault="00A50C96" w:rsidP="00130C92">
      <w:pPr>
        <w:pStyle w:val="ANormln"/>
        <w:numPr>
          <w:ilvl w:val="0"/>
          <w:numId w:val="13"/>
        </w:numPr>
        <w:ind w:left="993" w:hanging="284"/>
      </w:pPr>
      <w:r>
        <w:t>v </w:t>
      </w:r>
      <w:r w:rsidR="00076CB6">
        <w:t>důsledku nesprávnosti dat vkládaných do informačního systému Objednatele přímo Objednatelem</w:t>
      </w:r>
      <w:r w:rsidR="00130C92" w:rsidRPr="00130C92">
        <w:t>.</w:t>
      </w:r>
    </w:p>
    <w:p w14:paraId="72884263" w14:textId="43526E13" w:rsidR="00130C92" w:rsidRPr="00130C92" w:rsidRDefault="00130C92" w:rsidP="00130C92">
      <w:pPr>
        <w:pStyle w:val="Nadpis2"/>
      </w:pPr>
      <w:r w:rsidRPr="00130C92">
        <w:lastRenderedPageBreak/>
        <w:t>Objednatel je oprávněn reklamovat ve výše uvedené záruční době vady díla</w:t>
      </w:r>
      <w:r w:rsidR="00074810">
        <w:t xml:space="preserve"> u </w:t>
      </w:r>
      <w:r w:rsidR="00953B1D">
        <w:t>Z</w:t>
      </w:r>
      <w:r w:rsidRPr="00130C92">
        <w:t>hotovitele,</w:t>
      </w:r>
      <w:r w:rsidR="00074810">
        <w:t xml:space="preserve"> a </w:t>
      </w:r>
      <w:r w:rsidRPr="00130C92">
        <w:t>to písemnou formou.</w:t>
      </w:r>
      <w:r w:rsidR="00074810">
        <w:t xml:space="preserve"> V </w:t>
      </w:r>
      <w:r w:rsidRPr="00130C92">
        <w:t>reklamaci musí být popsána vada díla, nebo alespoň způsob, jakým se projevuje</w:t>
      </w:r>
      <w:r w:rsidR="00074810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074810">
        <w:t xml:space="preserve"> z </w:t>
      </w:r>
      <w:r w:rsidRPr="00130C92">
        <w:t>vady díla, případně požadavek na způsob odstranění vad díla,</w:t>
      </w:r>
      <w:r w:rsidR="00074810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074810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C5F7637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074810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074810">
        <w:t xml:space="preserve"> a </w:t>
      </w:r>
      <w:r w:rsidRPr="00130C92">
        <w:t>bude brán</w:t>
      </w:r>
      <w:r w:rsidR="00074810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6141AAE9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074810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1C2AC7E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074810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074810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074810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9" w:name="_Toc401400167"/>
      <w:bookmarkStart w:id="20" w:name="_Ref482625104"/>
      <w:bookmarkStart w:id="21" w:name="_Ref130298366"/>
      <w:r w:rsidRPr="00040CFF">
        <w:rPr>
          <w:caps w:val="0"/>
          <w:szCs w:val="20"/>
        </w:rPr>
        <w:t xml:space="preserve">SERVISNÍ PODPORA </w:t>
      </w:r>
      <w:bookmarkEnd w:id="19"/>
      <w:bookmarkEnd w:id="20"/>
      <w:r w:rsidRPr="00040CFF">
        <w:rPr>
          <w:caps w:val="0"/>
          <w:szCs w:val="20"/>
        </w:rPr>
        <w:t>PROVOZU – SLA</w:t>
      </w:r>
      <w:bookmarkEnd w:id="21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36A51F3B" w:rsidR="00D130E4" w:rsidRDefault="00076CB6" w:rsidP="00C764ED">
      <w:pPr>
        <w:pStyle w:val="Nadpis2"/>
      </w:pPr>
      <w:r w:rsidRPr="00875F9A">
        <w:t>Dodávka servisní podpory</w:t>
      </w:r>
      <w:r w:rsidR="00997540">
        <w:t xml:space="preserve"> provozu</w:t>
      </w:r>
      <w:r w:rsidRPr="00875F9A">
        <w:t xml:space="preserve"> pro předmět díla bude realizována Zhotovitelem tak, aby byl zajištěn nepřetržitý funkční chod předmětu díla. </w:t>
      </w:r>
    </w:p>
    <w:p w14:paraId="7D216D5C" w14:textId="0D4FAF32" w:rsidR="00D130E4" w:rsidRDefault="00076CB6" w:rsidP="00C764ED">
      <w:pPr>
        <w:pStyle w:val="Nadpis2"/>
      </w:pPr>
      <w:r w:rsidRPr="00875F9A">
        <w:t>Zhotovitel poskytne Objednateli takový typ servisní podpory</w:t>
      </w:r>
      <w:r w:rsidR="00997540">
        <w:t xml:space="preserve"> provozu</w:t>
      </w:r>
      <w:r w:rsidRPr="00875F9A">
        <w:t>, při kterém bude Objednatel schopen řešit servisní požadavky</w:t>
      </w:r>
      <w:r w:rsidR="00074810">
        <w:t xml:space="preserve"> u </w:t>
      </w:r>
      <w:r w:rsidR="007B547C">
        <w:t>Zhotovitele nebo přímo</w:t>
      </w:r>
      <w:r w:rsidR="00074810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4C1E897B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074810">
        <w:t xml:space="preserve"> v </w:t>
      </w:r>
      <w:r w:rsidR="00076CB6">
        <w:t>ceně servisní podpory provozu</w:t>
      </w:r>
      <w:r w:rsidR="0027733F">
        <w:t xml:space="preserve">, </w:t>
      </w:r>
      <w:r w:rsidR="0027733F" w:rsidRPr="0027733F">
        <w:t>tato povinnost se netýká Zhotovitele v případě software třetích stran</w:t>
      </w:r>
      <w:r w:rsidR="00076CB6" w:rsidRPr="00EA2822">
        <w:t>.</w:t>
      </w:r>
    </w:p>
    <w:p w14:paraId="2ED4B5A2" w14:textId="03720029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074810">
        <w:t xml:space="preserve"> v </w:t>
      </w:r>
      <w:r>
        <w:t>případě výskytu problému kontaktují linku zákaznické podpory</w:t>
      </w:r>
      <w:r w:rsidR="00074810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22" w:name="_Ref482625038"/>
      <w:r>
        <w:t>Linka zákaznické podpory (Helpdesk):</w:t>
      </w:r>
      <w:bookmarkEnd w:id="22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51E2689D" w:rsidR="00076CB6" w:rsidRDefault="00076CB6" w:rsidP="00C764ED">
      <w:pPr>
        <w:pStyle w:val="Nadpis2"/>
      </w:pPr>
      <w:bookmarkStart w:id="23" w:name="_Hlk194347779"/>
      <w:r>
        <w:t>S</w:t>
      </w:r>
      <w:r w:rsidRPr="00EA2822">
        <w:t xml:space="preserve">ervisní </w:t>
      </w:r>
      <w:r>
        <w:t xml:space="preserve">podpora </w:t>
      </w:r>
      <w:r w:rsidR="00C01C9A">
        <w:t xml:space="preserve">provozu </w:t>
      </w:r>
      <w:r>
        <w:t>bude</w:t>
      </w:r>
      <w:r w:rsidR="00074810">
        <w:t xml:space="preserve"> v </w:t>
      </w:r>
      <w:r w:rsidRPr="00EA2822">
        <w:t xml:space="preserve">následujícím rozsahu: </w:t>
      </w:r>
    </w:p>
    <w:bookmarkEnd w:id="23"/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technicko-asistenční</w:t>
      </w:r>
      <w:proofErr w:type="spellEnd"/>
      <w:r w:rsidRPr="00EE7B6F">
        <w:t xml:space="preserve">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bookmarkStart w:id="24" w:name="_Hlk194346598"/>
      <w:r>
        <w:t>R</w:t>
      </w:r>
      <w:r w:rsidR="00261556" w:rsidRPr="00261556">
        <w:t>ozsah servisní podpory provozu je</w:t>
      </w:r>
      <w:r w:rsidR="005571F4">
        <w:t>:</w:t>
      </w:r>
    </w:p>
    <w:p w14:paraId="332F6F1B" w14:textId="52DF1BA6" w:rsidR="005C4C48" w:rsidRPr="000F6DFB" w:rsidRDefault="005571F4" w:rsidP="005571F4">
      <w:pPr>
        <w:pStyle w:val="ANormln"/>
        <w:numPr>
          <w:ilvl w:val="1"/>
          <w:numId w:val="14"/>
        </w:numPr>
      </w:pPr>
      <w:r w:rsidRPr="000F6DFB">
        <w:rPr>
          <w:b/>
          <w:bCs/>
        </w:rPr>
        <w:t>Pro</w:t>
      </w:r>
      <w:r w:rsidRPr="000F6DFB">
        <w:t xml:space="preserve"> </w:t>
      </w:r>
      <w:r w:rsidR="005C4C48" w:rsidRPr="000F6DFB">
        <w:rPr>
          <w:b/>
          <w:bCs/>
        </w:rPr>
        <w:t>1. část</w:t>
      </w:r>
      <w:r w:rsidRPr="000F6DFB">
        <w:rPr>
          <w:b/>
          <w:bCs/>
        </w:rPr>
        <w:t>:</w:t>
      </w:r>
      <w:r w:rsidR="005C4C48" w:rsidRPr="000F6DFB">
        <w:t xml:space="preserve"> </w:t>
      </w:r>
      <w:r w:rsidR="00F0179C" w:rsidRPr="000F6DFB">
        <w:rPr>
          <w:b/>
          <w:bCs/>
        </w:rPr>
        <w:t>25</w:t>
      </w:r>
      <w:r w:rsidR="007D1F24" w:rsidRPr="000F6DFB">
        <w:rPr>
          <w:b/>
          <w:bCs/>
        </w:rPr>
        <w:t xml:space="preserve"> </w:t>
      </w:r>
      <w:r w:rsidR="00261556" w:rsidRPr="000F6DFB">
        <w:rPr>
          <w:b/>
          <w:bCs/>
        </w:rPr>
        <w:t>hodin za měsíc</w:t>
      </w:r>
      <w:r w:rsidRPr="000F6DFB">
        <w:rPr>
          <w:b/>
          <w:bCs/>
        </w:rPr>
        <w:t>.</w:t>
      </w:r>
    </w:p>
    <w:p w14:paraId="58C8E401" w14:textId="4076484D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</w:t>
      </w:r>
      <w:bookmarkStart w:id="25" w:name="_Hlk194346516"/>
      <w:r w:rsidR="00C01C9A">
        <w:t xml:space="preserve">, </w:t>
      </w:r>
      <w:r w:rsidR="00C01C9A">
        <w:rPr>
          <w:rFonts w:cs="Arial"/>
          <w:szCs w:val="20"/>
        </w:rPr>
        <w:t>v době poskytování servisní podpory provozu</w:t>
      </w:r>
      <w:bookmarkEnd w:id="25"/>
      <w:r w:rsidRPr="00261556">
        <w:t>.</w:t>
      </w:r>
    </w:p>
    <w:bookmarkEnd w:id="24"/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131EC7AD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074810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bookmarkStart w:id="26" w:name="_Hlk194346827"/>
      <w:r>
        <w:t>P</w:t>
      </w:r>
      <w:r w:rsidR="000E0EC0">
        <w:t>rovádění správy předmětu díla, do které náleží zejména:</w:t>
      </w:r>
    </w:p>
    <w:p w14:paraId="30B9B0E2" w14:textId="4A8448AA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</w:t>
      </w:r>
      <w:r w:rsidR="00997540">
        <w:t xml:space="preserve">, </w:t>
      </w:r>
      <w:r w:rsidR="00997540" w:rsidRPr="00C01C9A">
        <w:t>tato povinnost se netýká Zhotovitele v případě software třetích stran</w:t>
      </w:r>
      <w:r>
        <w:t>;</w:t>
      </w:r>
    </w:p>
    <w:p w14:paraId="5EC3A16C" w14:textId="1BDE76BB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074810">
        <w:t xml:space="preserve"> z </w:t>
      </w:r>
      <w:r>
        <w:t>provozu předmětu díla,</w:t>
      </w:r>
      <w:r w:rsidR="00074810">
        <w:t xml:space="preserve"> s </w:t>
      </w:r>
      <w:r>
        <w:t>četností nejméně jednou za měsíc.</w:t>
      </w:r>
    </w:p>
    <w:p w14:paraId="57DDF40B" w14:textId="59AD51CD" w:rsidR="00C01C9A" w:rsidRDefault="00C01C9A" w:rsidP="00C01C9A">
      <w:pPr>
        <w:pStyle w:val="ANormln"/>
        <w:ind w:left="1080"/>
      </w:pPr>
    </w:p>
    <w:p w14:paraId="0BEE38C8" w14:textId="1FE0C3F1" w:rsidR="000E0EC0" w:rsidRDefault="00F3269E" w:rsidP="00F3269E">
      <w:pPr>
        <w:pStyle w:val="ANormln"/>
        <w:numPr>
          <w:ilvl w:val="0"/>
          <w:numId w:val="28"/>
        </w:numPr>
      </w:pPr>
      <w:bookmarkStart w:id="27" w:name="_Hlk194347075"/>
      <w:bookmarkEnd w:id="26"/>
      <w:r>
        <w:lastRenderedPageBreak/>
        <w:t>P</w:t>
      </w:r>
      <w:r w:rsidR="000E0EC0">
        <w:t>ravidelné informování předem</w:t>
      </w:r>
      <w:r w:rsidR="00074810">
        <w:t xml:space="preserve"> a </w:t>
      </w:r>
      <w:r w:rsidR="000E0EC0">
        <w:t>poskytování Objednateli veškerých patchů, aktualizací</w:t>
      </w:r>
      <w:r w:rsidR="00074810">
        <w:t xml:space="preserve"> a </w:t>
      </w:r>
      <w:r w:rsidR="000E0EC0">
        <w:t>updatů předmětu díla</w:t>
      </w:r>
      <w:r w:rsidR="00074810">
        <w:t xml:space="preserve"> a </w:t>
      </w:r>
      <w:r w:rsidR="000E0EC0">
        <w:t>zabezpečení Objednateli oprávnění využívat dané patche, aktualizace</w:t>
      </w:r>
      <w:r w:rsidR="00074810">
        <w:t xml:space="preserve"> a </w:t>
      </w:r>
      <w:r w:rsidR="000E0EC0">
        <w:t>updaty předmětu díla</w:t>
      </w:r>
      <w:r w:rsidR="00967AEB">
        <w:t xml:space="preserve">, </w:t>
      </w:r>
      <w:r w:rsidR="00967AEB" w:rsidRPr="00967AEB">
        <w:t>tato povinnost se netýká Zhotovitele v případě software třetích stran</w:t>
      </w:r>
      <w:r w:rsidR="000E0EC0">
        <w:t>.</w:t>
      </w:r>
    </w:p>
    <w:bookmarkEnd w:id="27"/>
    <w:p w14:paraId="37D5E123" w14:textId="042644BB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předmětu díla vyhovoval platným</w:t>
      </w:r>
      <w:r w:rsidR="00074810">
        <w:t xml:space="preserve"> a </w:t>
      </w:r>
      <w:r>
        <w:t>účinným právním předpisům (legislativní update).</w:t>
      </w:r>
    </w:p>
    <w:p w14:paraId="1214857A" w14:textId="4166B4C9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074810">
        <w:t xml:space="preserve"> a </w:t>
      </w:r>
      <w:r>
        <w:t>odstraňování závad předmětu díla.</w:t>
      </w:r>
    </w:p>
    <w:p w14:paraId="10B35AF1" w14:textId="69C96C7A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 xml:space="preserve">servisní podpory </w:t>
      </w:r>
      <w:r w:rsidR="00997540">
        <w:t xml:space="preserve">provozu </w:t>
      </w:r>
      <w:r w:rsidR="009357FD">
        <w:t>týkající se provozu předmětu díla</w:t>
      </w:r>
      <w:r w:rsidR="00967AEB">
        <w:t>,</w:t>
      </w:r>
      <w:r w:rsidR="009357FD">
        <w:t xml:space="preserve"> </w:t>
      </w:r>
      <w:r w:rsidR="00967AEB">
        <w:t xml:space="preserve">včetně </w:t>
      </w:r>
      <w:r w:rsidR="009357FD">
        <w:t>testování</w:t>
      </w:r>
      <w:r w:rsidR="00074810">
        <w:t xml:space="preserve"> a </w:t>
      </w:r>
      <w:r w:rsidR="009357FD">
        <w:t>údržb</w:t>
      </w:r>
      <w:r w:rsidR="00967AEB">
        <w:t>y</w:t>
      </w:r>
      <w:r w:rsidR="009357FD">
        <w:t xml:space="preserve"> </w:t>
      </w:r>
      <w:r w:rsidR="00733E04">
        <w:t xml:space="preserve">řešení </w:t>
      </w:r>
      <w:r w:rsidR="009357FD">
        <w:t>požadavků</w:t>
      </w:r>
      <w:r w:rsidR="00074810">
        <w:t xml:space="preserve"> a </w:t>
      </w:r>
      <w:r w:rsidR="009357FD">
        <w:t>odstranění závad</w:t>
      </w:r>
      <w:r>
        <w:t>.</w:t>
      </w:r>
    </w:p>
    <w:p w14:paraId="166D9320" w14:textId="6C1F622C" w:rsidR="000B0DBC" w:rsidRDefault="00993EB9" w:rsidP="00C764ED">
      <w:pPr>
        <w:pStyle w:val="Nadpis2"/>
      </w:pPr>
      <w:bookmarkStart w:id="28" w:name="_Ref184747688"/>
      <w:bookmarkStart w:id="29" w:name="_Hlk194347618"/>
      <w:r>
        <w:t xml:space="preserve">Servisní podpora </w:t>
      </w:r>
      <w:r w:rsidR="00F14F5E">
        <w:t xml:space="preserve">provozu </w:t>
      </w:r>
      <w:r>
        <w:t>bude poskytována na základě písemného požadavku Objednatele. Zhotovitel na základě písemného požadavku zpracuje</w:t>
      </w:r>
      <w:r w:rsidR="00074810">
        <w:t xml:space="preserve"> a </w:t>
      </w:r>
      <w:r w:rsidR="00DC53E1">
        <w:t xml:space="preserve">předá Objednateli </w:t>
      </w:r>
      <w:r>
        <w:t>návrh řešení</w:t>
      </w:r>
      <w:r w:rsidR="00074810">
        <w:t xml:space="preserve"> a </w:t>
      </w:r>
      <w:r w:rsidR="00D40004">
        <w:t>stanoví</w:t>
      </w:r>
      <w:r>
        <w:t xml:space="preserve"> pracnost</w:t>
      </w:r>
      <w:r w:rsidR="00074810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074810">
        <w:t xml:space="preserve"> a </w:t>
      </w:r>
      <w:r w:rsidR="00DC53E1">
        <w:t>pracnost řešení.</w:t>
      </w:r>
      <w:bookmarkEnd w:id="28"/>
      <w:r w:rsidR="004F5009">
        <w:t xml:space="preserve"> </w:t>
      </w:r>
    </w:p>
    <w:bookmarkEnd w:id="29"/>
    <w:p w14:paraId="73D1CC12" w14:textId="1DEE5549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8B57A8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D0492E2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074810">
        <w:t xml:space="preserve"> a </w:t>
      </w:r>
      <w:r>
        <w:t>provozních závad předmětu díla</w:t>
      </w:r>
      <w:r w:rsidR="00074810">
        <w:t xml:space="preserve"> s </w:t>
      </w:r>
      <w:r w:rsidRPr="00982AB1">
        <w:t>garantovanou dostupností služby</w:t>
      </w:r>
      <w:r w:rsidR="00074810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548F5FCD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8B57A8">
        <w:t>13.12</w:t>
      </w:r>
      <w:r>
        <w:fldChar w:fldCharType="end"/>
      </w:r>
      <w:r w:rsidR="00076CB6">
        <w:t>.</w:t>
      </w:r>
    </w:p>
    <w:p w14:paraId="1F52E592" w14:textId="4492DBD1" w:rsidR="00076CB6" w:rsidRDefault="00076CB6" w:rsidP="00C764ED">
      <w:pPr>
        <w:pStyle w:val="Nadpis2"/>
      </w:pPr>
      <w:bookmarkStart w:id="30" w:name="_Ref482632376"/>
      <w:r>
        <w:t>Závadou předmětu díla se rozumí jakýkoliv stav předmětu díla znemožňující provoz dle dokumentace</w:t>
      </w:r>
      <w:r w:rsidR="00074810">
        <w:t xml:space="preserve"> k </w:t>
      </w:r>
      <w:r>
        <w:t>předmětu díla. Pro rozlišení urgentnosti závad bude využívána stupnice:</w:t>
      </w:r>
      <w:bookmarkEnd w:id="30"/>
    </w:p>
    <w:p w14:paraId="4A3DD34D" w14:textId="492F4138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074810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074810">
        <w:t xml:space="preserve"> s </w:t>
      </w:r>
      <w:r w:rsidRPr="00D42123">
        <w:t>platnou legislativou.</w:t>
      </w:r>
    </w:p>
    <w:p w14:paraId="40E012D4" w14:textId="72249F96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074810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03A9AEA8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2E57F9D8" w:rsidR="00076CB6" w:rsidRDefault="00076CB6" w:rsidP="00F771C9">
      <w:pPr>
        <w:pStyle w:val="Nadpis2"/>
        <w:keepNext/>
      </w:pPr>
      <w:bookmarkStart w:id="31" w:name="_Ref12973526"/>
      <w:r w:rsidRPr="00B14F5F">
        <w:t>Reakční doby pro řešení požadavků</w:t>
      </w:r>
      <w:r>
        <w:t xml:space="preserve"> jsou uvedeny</w:t>
      </w:r>
      <w:r w:rsidR="00074810">
        <w:t xml:space="preserve"> v </w:t>
      </w:r>
      <w:r>
        <w:t>následující tabulce.</w:t>
      </w:r>
      <w:bookmarkEnd w:id="31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20D12744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074810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C0ABD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473CE02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1B1885D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291F624B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58B74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005CB1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4671E3A6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545673BD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32" w:name="_Ref235424868"/>
      <w:r>
        <w:t>POVINNOSTI OBJEDNATELE</w:t>
      </w:r>
      <w:bookmarkEnd w:id="32"/>
    </w:p>
    <w:p w14:paraId="273940C7" w14:textId="63CCD712" w:rsidR="00076CB6" w:rsidRDefault="00076CB6" w:rsidP="00C764ED">
      <w:pPr>
        <w:pStyle w:val="Nadpis2"/>
      </w:pPr>
      <w:r>
        <w:t>Objednatel je povinen zajistit Zhotoviteli přístup do prostor instalace</w:t>
      </w:r>
      <w:r w:rsidR="00074810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074810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77777777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takové existují.</w:t>
      </w:r>
    </w:p>
    <w:p w14:paraId="1E85DF04" w14:textId="0D9BEE2C" w:rsidR="00076CB6" w:rsidRDefault="00076CB6" w:rsidP="00C764ED">
      <w:pPr>
        <w:pStyle w:val="Nadpis2"/>
      </w:pPr>
      <w:r>
        <w:t>Objednatel je povinen seznámit před započetím díla odpovědného zástupce Zhotovitele</w:t>
      </w:r>
      <w:r w:rsidR="00074810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074810">
        <w:t xml:space="preserve"> a </w:t>
      </w:r>
      <w:r>
        <w:t xml:space="preserve">případně </w:t>
      </w:r>
      <w:r>
        <w:lastRenderedPageBreak/>
        <w:t>zabezpečí zdarma proškolení pracovníků Zhotovitele před zahájením prací.</w:t>
      </w:r>
      <w:r w:rsidR="00074810">
        <w:t xml:space="preserve"> V </w:t>
      </w:r>
      <w:r>
        <w:t>případě, že tak Objednatel neučiní, nenese Zhotovitel za případně vzniklé škody odpovědnost.</w:t>
      </w:r>
    </w:p>
    <w:p w14:paraId="10C94E35" w14:textId="0FE3759C" w:rsidR="00076CB6" w:rsidRDefault="00076CB6" w:rsidP="00C764ED">
      <w:pPr>
        <w:pStyle w:val="Nadpis2"/>
      </w:pPr>
      <w:r>
        <w:t>Objednatel souhlasí</w:t>
      </w:r>
      <w:r w:rsidR="00074810">
        <w:t xml:space="preserve"> s </w:t>
      </w:r>
      <w:r>
        <w:t>tím, že pokud nezajistí</w:t>
      </w:r>
      <w:r w:rsidR="00074810">
        <w:t xml:space="preserve"> v </w:t>
      </w:r>
      <w:r>
        <w:t>dohodnutých lhůtách součinnost dle této smlouvy, je Zhotovitel oprávněn přerušit práce na předmětu díla</w:t>
      </w:r>
      <w:r w:rsidR="00074810">
        <w:t xml:space="preserve"> a </w:t>
      </w:r>
      <w:r>
        <w:t>posunout příslušné termíny plnění</w:t>
      </w:r>
      <w:r w:rsidR="00074810">
        <w:t xml:space="preserve"> o </w:t>
      </w:r>
      <w:r>
        <w:t>dobu prodlení Objednatele, aniž by tímto</w:t>
      </w:r>
      <w:r w:rsidR="00074810">
        <w:t xml:space="preserve"> z </w:t>
      </w:r>
      <w:r>
        <w:t>jeho strany došlo</w:t>
      </w:r>
      <w:r w:rsidR="00074810">
        <w:t xml:space="preserve"> k </w:t>
      </w:r>
      <w:r>
        <w:t xml:space="preserve">porušení povinností dle této smlouvy. </w:t>
      </w:r>
    </w:p>
    <w:p w14:paraId="15CA121C" w14:textId="04F98A96" w:rsidR="00076CB6" w:rsidRDefault="00076CB6" w:rsidP="00C764ED">
      <w:pPr>
        <w:pStyle w:val="Nadpis2"/>
      </w:pPr>
      <w:r w:rsidRPr="00E87BC5">
        <w:t>V případě, že</w:t>
      </w:r>
      <w:r w:rsidR="00074810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074810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074810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4A04CCDB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074810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074810">
        <w:t xml:space="preserve"> v </w:t>
      </w:r>
      <w:r>
        <w:t>trvale dobrém stavu, průběžně odstraňovat všechny odpady</w:t>
      </w:r>
      <w:r w:rsidR="00074810">
        <w:t xml:space="preserve"> a </w:t>
      </w:r>
      <w:r>
        <w:t>dodržovat bezpečnostní</w:t>
      </w:r>
      <w:r w:rsidR="00074810">
        <w:t xml:space="preserve"> a </w:t>
      </w:r>
      <w:r>
        <w:t>požární předpisy</w:t>
      </w:r>
      <w:r w:rsidR="00074810">
        <w:t xml:space="preserve"> a </w:t>
      </w:r>
      <w:r>
        <w:t>předpisy</w:t>
      </w:r>
      <w:r w:rsidR="00074810">
        <w:t xml:space="preserve"> o </w:t>
      </w:r>
      <w:r>
        <w:t>ochraně životního prostředí.</w:t>
      </w:r>
    </w:p>
    <w:p w14:paraId="0023F885" w14:textId="1A3D159A" w:rsidR="00076CB6" w:rsidRDefault="00076CB6" w:rsidP="00C764ED">
      <w:pPr>
        <w:pStyle w:val="Nadpis2"/>
      </w:pPr>
      <w:bookmarkStart w:id="33" w:name="_Ref182920912"/>
      <w:r>
        <w:t>Zhotovitel se zavazuje pro případ, že se dostane do kontaktu</w:t>
      </w:r>
      <w:r w:rsidR="00074810">
        <w:t xml:space="preserve"> s </w:t>
      </w:r>
      <w:r>
        <w:t>osobními údaji, zachovávat naprostou mlčenlivost,</w:t>
      </w:r>
      <w:r w:rsidR="00074810">
        <w:t xml:space="preserve"> a </w:t>
      </w:r>
      <w:r>
        <w:t>to</w:t>
      </w:r>
      <w:r w:rsidR="00074810">
        <w:t xml:space="preserve"> i </w:t>
      </w:r>
      <w:r>
        <w:t>po ukončení plnění této smlouvy,</w:t>
      </w:r>
      <w:r w:rsidR="00074810">
        <w:t xml:space="preserve"> v </w:t>
      </w:r>
      <w:r>
        <w:t>případě jejího zrušení, odstoupení od ní či její výpovědi.</w:t>
      </w:r>
      <w:bookmarkEnd w:id="33"/>
    </w:p>
    <w:p w14:paraId="7F01B97D" w14:textId="0B062B4C" w:rsidR="00CC5826" w:rsidRDefault="00CC5826" w:rsidP="00CC5826">
      <w:pPr>
        <w:pStyle w:val="Nadpis2"/>
      </w:pPr>
      <w:bookmarkStart w:id="34" w:name="_Ref182920914"/>
      <w:bookmarkStart w:id="35" w:name="_Hlk194348828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074810">
        <w:t xml:space="preserve"> v </w:t>
      </w:r>
      <w:r w:rsidRPr="00270FEA">
        <w:t>průběhu provádění díla</w:t>
      </w:r>
      <w:r w:rsidR="00074810">
        <w:t xml:space="preserve"> a </w:t>
      </w:r>
      <w:r w:rsidRPr="00270FEA">
        <w:t xml:space="preserve">poskytování </w:t>
      </w:r>
      <w:r w:rsidR="00D95D38">
        <w:t xml:space="preserve">servisní </w:t>
      </w:r>
      <w:r w:rsidRPr="00270FEA">
        <w:t>podpory</w:t>
      </w:r>
      <w:r>
        <w:t xml:space="preserve"> </w:t>
      </w:r>
      <w:r w:rsidR="00D95D38">
        <w:t xml:space="preserve">provozu </w:t>
      </w:r>
      <w:r>
        <w:t xml:space="preserve">tak, že tyto informace </w:t>
      </w:r>
      <w:r w:rsidRPr="00270FEA">
        <w:t>nebude dále rozšiřovat nebo reprodukovat</w:t>
      </w:r>
      <w:r w:rsidR="00074810">
        <w:t xml:space="preserve"> a </w:t>
      </w:r>
      <w:r w:rsidRPr="00270FEA">
        <w:t>nezpřístupní je třetí straně</w:t>
      </w:r>
      <w:r>
        <w:t>.</w:t>
      </w:r>
      <w:bookmarkEnd w:id="34"/>
    </w:p>
    <w:bookmarkEnd w:id="35"/>
    <w:p w14:paraId="0035F2F1" w14:textId="1F3D458F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074810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074810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1C3C3F5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36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074810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074810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074810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10192267" w:rsidR="00076CB6" w:rsidDel="00DA2765" w:rsidRDefault="00076CB6" w:rsidP="00C764ED">
      <w:pPr>
        <w:pStyle w:val="Nadpis2"/>
      </w:pPr>
      <w:r w:rsidDel="00DA2765">
        <w:t>Zhotovitel</w:t>
      </w:r>
      <w:r w:rsidR="00074810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074810">
        <w:t xml:space="preserve"> k </w:t>
      </w:r>
      <w:r w:rsidDel="00DA2765">
        <w:t>dílu označit na titulní straně logem EU, MMR</w:t>
      </w:r>
      <w:r w:rsidR="00074810">
        <w:t xml:space="preserve"> a </w:t>
      </w:r>
      <w:r w:rsidDel="00DA2765">
        <w:t>Objednatele, tak jak jsou</w:t>
      </w:r>
      <w:r w:rsidR="00074810">
        <w:t xml:space="preserve"> v </w:t>
      </w:r>
      <w:r w:rsidDel="00DA2765">
        <w:t>záhlaví této smlouvy.</w:t>
      </w:r>
      <w:bookmarkEnd w:id="36"/>
    </w:p>
    <w:p w14:paraId="45A41AED" w14:textId="63430670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074810">
        <w:t xml:space="preserve"> a </w:t>
      </w:r>
      <w:r w:rsidRPr="00A9458D">
        <w:t>dokumentaci související</w:t>
      </w:r>
      <w:r w:rsidR="00074810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074810">
        <w:t xml:space="preserve"> a </w:t>
      </w:r>
      <w:r w:rsidRPr="00A9458D">
        <w:t>dalších oprávněných orgánů státní správy)</w:t>
      </w:r>
      <w:r w:rsidR="00074810">
        <w:t xml:space="preserve"> a </w:t>
      </w:r>
      <w:r w:rsidRPr="00A9458D">
        <w:t>je povinen vytvořit výše uvedeným osobám podmínky</w:t>
      </w:r>
      <w:r w:rsidR="00074810">
        <w:t xml:space="preserve"> k </w:t>
      </w:r>
      <w:r w:rsidRPr="00A9458D">
        <w:t>provedení kontroly vztahující se</w:t>
      </w:r>
      <w:r w:rsidR="00074810">
        <w:t xml:space="preserve"> k </w:t>
      </w:r>
      <w:r w:rsidRPr="00A9458D">
        <w:t>realizaci projektu</w:t>
      </w:r>
      <w:r w:rsidR="00074810">
        <w:t xml:space="preserve"> a </w:t>
      </w:r>
      <w:r w:rsidRPr="00A9458D">
        <w:t>poskytnout jim při provádění kontroly součinnost.</w:t>
      </w:r>
    </w:p>
    <w:p w14:paraId="6B4B959E" w14:textId="69D45A1C" w:rsidR="002E54A8" w:rsidRPr="002E54A8" w:rsidRDefault="002E54A8" w:rsidP="002E54A8">
      <w:pPr>
        <w:pStyle w:val="Nadpis2"/>
      </w:pPr>
      <w:bookmarkStart w:id="37" w:name="_Ref272059073"/>
      <w:r w:rsidRPr="002E54A8">
        <w:t>Zhotovitel se zavazuje poskytnout součinnost Objednateli při plnění požadavků poskytovatele dotace</w:t>
      </w:r>
      <w:r w:rsidR="00074810">
        <w:t xml:space="preserve"> a </w:t>
      </w:r>
      <w:r w:rsidRPr="002E54A8">
        <w:t>CRR ČR.</w:t>
      </w:r>
    </w:p>
    <w:p w14:paraId="43A9C659" w14:textId="51FF0E75" w:rsidR="00076CB6" w:rsidRDefault="00076CB6" w:rsidP="00C764ED">
      <w:pPr>
        <w:pStyle w:val="Nadpis2"/>
      </w:pPr>
      <w:r>
        <w:t>Zhotovitel bere na vědomí, že dle § 2 písm. e) zákona č. 320/2001 Sb.,</w:t>
      </w:r>
      <w:r w:rsidR="00074810">
        <w:t xml:space="preserve"> o </w:t>
      </w:r>
      <w:r>
        <w:t>finanční kontrole ve veřejné správě</w:t>
      </w:r>
      <w:r w:rsidR="00074810">
        <w:t xml:space="preserve"> a o </w:t>
      </w:r>
      <w:r w:rsidR="0061148D">
        <w:t>změně některých zákonů (zákon</w:t>
      </w:r>
      <w:r w:rsidR="00074810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074810">
        <w:t xml:space="preserve"> a </w:t>
      </w:r>
      <w:r>
        <w:t>zavazuje se, že umožní provedení kontroly, bude</w:t>
      </w:r>
      <w:r w:rsidR="00074810">
        <w:t xml:space="preserve"> s </w:t>
      </w:r>
      <w:r>
        <w:t>kontrolními orgány spolupracovat</w:t>
      </w:r>
      <w:r w:rsidR="00074810">
        <w:t xml:space="preserve"> a </w:t>
      </w:r>
      <w:r>
        <w:t>poskytne kontrolou vyžadované doklady.</w:t>
      </w:r>
    </w:p>
    <w:p w14:paraId="632B0C69" w14:textId="4049D5D0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074810">
        <w:t xml:space="preserve"> v </w:t>
      </w:r>
      <w:r w:rsidRPr="00F57E14">
        <w:t>rámci zadávacího řízení, na základě něhož byla uzavřena tato smlouva, jen</w:t>
      </w:r>
      <w:r w:rsidR="00074810">
        <w:t xml:space="preserve"> z </w:t>
      </w:r>
      <w:r w:rsidRPr="00F57E14">
        <w:t>vážných objektivních důvodů</w:t>
      </w:r>
      <w:r w:rsidR="00074810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497ECBD" w:rsidR="00CC5826" w:rsidRDefault="00CC5826" w:rsidP="00CC5826">
      <w:pPr>
        <w:pStyle w:val="Nadpis2"/>
      </w:pPr>
      <w:r>
        <w:t>Zhotovitel je povinen se řídit pokyny Objednatele při provádění díla</w:t>
      </w:r>
      <w:r w:rsidR="00074810">
        <w:t xml:space="preserve"> a </w:t>
      </w:r>
      <w:r>
        <w:t>platnou bezpečnostní politikou Objednatele,</w:t>
      </w:r>
      <w:r w:rsidR="00074810">
        <w:t xml:space="preserve"> s </w:t>
      </w:r>
      <w:r>
        <w:t>níž Objednatel seznámí Zhotovitele bezprostředně po nabytí účinnosti této smlouvy.</w:t>
      </w:r>
    </w:p>
    <w:p w14:paraId="4F99B155" w14:textId="1ED66007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074810">
        <w:t xml:space="preserve"> a </w:t>
      </w:r>
      <w:r>
        <w:t>to</w:t>
      </w:r>
      <w:r w:rsidR="00074810">
        <w:t xml:space="preserve"> v </w:t>
      </w:r>
      <w:r>
        <w:t>souladu</w:t>
      </w:r>
      <w:r w:rsidR="00074810">
        <w:t xml:space="preserve"> s </w:t>
      </w:r>
      <w:r>
        <w:t>pravidly definovanými</w:t>
      </w:r>
      <w:r w:rsidR="00074810">
        <w:t xml:space="preserve"> v </w:t>
      </w:r>
      <w:r>
        <w:t>platné bezpečnostní politice Objednatele.</w:t>
      </w:r>
    </w:p>
    <w:p w14:paraId="5634F267" w14:textId="2F8A7B7B" w:rsidR="00076CB6" w:rsidRDefault="00076CB6" w:rsidP="00C764ED">
      <w:pPr>
        <w:pStyle w:val="Nadpis1"/>
      </w:pPr>
      <w:r>
        <w:lastRenderedPageBreak/>
        <w:t>ODPOVĚDNÉ OSOBY OBJEDNATELE</w:t>
      </w:r>
      <w:r w:rsidR="00074810">
        <w:t xml:space="preserve"> A </w:t>
      </w:r>
      <w:r>
        <w:t>ZHOTOVITELE</w:t>
      </w:r>
      <w:bookmarkEnd w:id="37"/>
    </w:p>
    <w:p w14:paraId="4844422B" w14:textId="17BC429D" w:rsidR="00076CB6" w:rsidRDefault="00076CB6" w:rsidP="00C764ED">
      <w:pPr>
        <w:pStyle w:val="Nadpis2"/>
      </w:pPr>
      <w:bookmarkStart w:id="38" w:name="_Ref404339494"/>
      <w:r>
        <w:t>Objednatel</w:t>
      </w:r>
      <w:r w:rsidR="00074810">
        <w:t xml:space="preserve"> a </w:t>
      </w:r>
      <w:r>
        <w:t>Zhotovitel se dohodli, že:</w:t>
      </w:r>
      <w:bookmarkEnd w:id="38"/>
    </w:p>
    <w:p w14:paraId="2B2273B4" w14:textId="76104080" w:rsidR="00803B53" w:rsidRDefault="00967B0C" w:rsidP="00967B0C">
      <w:pPr>
        <w:pStyle w:val="Odstavecseseznamem"/>
        <w:numPr>
          <w:ilvl w:val="0"/>
          <w:numId w:val="5"/>
        </w:numPr>
      </w:pPr>
      <w:bookmarkStart w:id="39" w:name="_Hlk99017856"/>
      <w:r>
        <w:t>odpovědná osoba Objednatele</w:t>
      </w:r>
      <w:r w:rsidR="006918C4">
        <w:t xml:space="preserve"> ve věcech</w:t>
      </w:r>
      <w:r w:rsidR="00803B53">
        <w:t>:</w:t>
      </w:r>
    </w:p>
    <w:p w14:paraId="7DDB6AA7" w14:textId="28916DA8" w:rsidR="00803B53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 xml:space="preserve">je pan </w:t>
      </w:r>
      <w:r w:rsidRPr="00803B53">
        <w:rPr>
          <w:b/>
        </w:rPr>
        <w:t xml:space="preserve">PhDr. Mgr. Martin </w:t>
      </w:r>
      <w:proofErr w:type="spellStart"/>
      <w:r w:rsidRPr="00803B53">
        <w:rPr>
          <w:b/>
        </w:rPr>
        <w:t>Reissner</w:t>
      </w:r>
      <w:proofErr w:type="spellEnd"/>
      <w:r w:rsidRPr="00803B53">
        <w:rPr>
          <w:b/>
        </w:rPr>
        <w:t>, Ph.D.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</w:t>
      </w:r>
      <w:r w:rsidRPr="00803B53">
        <w:rPr>
          <w:b/>
        </w:rPr>
        <w:t>775 561 660</w:t>
      </w:r>
      <w:r>
        <w:t xml:space="preserve">; e-mail: </w:t>
      </w:r>
      <w:r w:rsidRPr="00803B53">
        <w:rPr>
          <w:b/>
        </w:rPr>
        <w:t>martin.reissner@nemtisnov.cz</w:t>
      </w:r>
    </w:p>
    <w:p w14:paraId="32E1F717" w14:textId="2CF2B3D9" w:rsidR="00967B0C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technických </w:t>
      </w:r>
      <w:r w:rsidR="00C2248E" w:rsidRPr="00C2248E">
        <w:rPr>
          <w:b/>
        </w:rPr>
        <w:t>Kamil Augustýn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967B0C" w:rsidRPr="00441E6B">
        <w:rPr>
          <w:b/>
        </w:rPr>
        <w:t>+420</w:t>
      </w:r>
      <w:r w:rsidR="00967B0C">
        <w:rPr>
          <w:b/>
        </w:rPr>
        <w:t> </w:t>
      </w:r>
      <w:r w:rsidR="00C2248E" w:rsidRPr="00C2248E">
        <w:rPr>
          <w:b/>
        </w:rPr>
        <w:t>775 561 662</w:t>
      </w:r>
      <w:r w:rsidR="00967B0C">
        <w:t xml:space="preserve">; </w:t>
      </w:r>
      <w:r w:rsidR="00B26232">
        <w:br/>
      </w:r>
      <w:r w:rsidR="00967B0C">
        <w:t xml:space="preserve">e-mail: </w:t>
      </w:r>
      <w:r w:rsidR="00C2248E" w:rsidRPr="00C2248E">
        <w:rPr>
          <w:b/>
        </w:rPr>
        <w:t>kamil.augustyn@nemtisnov.cz</w:t>
      </w:r>
      <w:r w:rsidR="00967B0C"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39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29E73789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</w:t>
            </w:r>
            <w:proofErr w:type="spellEnd"/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1E6068D" w:rsidR="00076CB6" w:rsidRDefault="00076CB6" w:rsidP="00C764ED">
      <w:pPr>
        <w:pStyle w:val="Nadpis2"/>
      </w:pPr>
      <w:bookmarkStart w:id="40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074810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40"/>
    </w:p>
    <w:p w14:paraId="4AE51592" w14:textId="34E8CB1D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074810">
        <w:t xml:space="preserve"> v </w:t>
      </w:r>
      <w:r>
        <w:t>souladu</w:t>
      </w:r>
      <w:r w:rsidR="00074810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5C839500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074810">
        <w:t xml:space="preserve"> s </w:t>
      </w:r>
      <w:r w:rsidRPr="00925819">
        <w:t>Objednatelem překladatele/tlumočníka. Jakékoliv náklady na překladatele/tlumočníka ve smyslu tohoto čl. hradí</w:t>
      </w:r>
      <w:r w:rsidR="00074810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5DD8A905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074810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074810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4DA35625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074810">
        <w:rPr>
          <w:szCs w:val="22"/>
        </w:rPr>
        <w:t xml:space="preserve"> v </w:t>
      </w:r>
      <w:r>
        <w:rPr>
          <w:szCs w:val="22"/>
        </w:rPr>
        <w:t>rozporu</w:t>
      </w:r>
      <w:r w:rsidR="00074810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7A537D07" w:rsidR="00076CB6" w:rsidRDefault="00076CB6" w:rsidP="00C764ED">
      <w:pPr>
        <w:pStyle w:val="Nadpis2"/>
      </w:pPr>
      <w:r>
        <w:t>Pokud před dokončením díla dojde</w:t>
      </w:r>
      <w:r w:rsidR="00074810">
        <w:t xml:space="preserve"> k </w:t>
      </w:r>
      <w:r>
        <w:t>odstoupení od smlouvy, provede nezávislý znalecký subjekt ocenění soupisů provedených prací</w:t>
      </w:r>
      <w:r w:rsidR="00074810">
        <w:t xml:space="preserve"> a </w:t>
      </w:r>
      <w:r>
        <w:t>na základě tohoto ocenění bude provedeno vzájemné finanční vyrovnání.</w:t>
      </w:r>
    </w:p>
    <w:p w14:paraId="7BFD6ADA" w14:textId="322C3C7C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074810">
        <w:t xml:space="preserve"> i </w:t>
      </w:r>
      <w:r>
        <w:t>po odstoupení od smlouvy, zejména ujednání</w:t>
      </w:r>
      <w:r w:rsidR="00074810">
        <w:t xml:space="preserve"> o </w:t>
      </w:r>
      <w:r>
        <w:t>způsobu řešení sporů.</w:t>
      </w:r>
    </w:p>
    <w:p w14:paraId="43F92275" w14:textId="5FF144CE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074810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074810">
        <w:t xml:space="preserve"> a </w:t>
      </w:r>
      <w:r w:rsidRPr="00F57E14">
        <w:t>to buď samostatně, nebo</w:t>
      </w:r>
      <w:r w:rsidR="00074810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0A54D565" w:rsidR="00034286" w:rsidRPr="00F57E14" w:rsidRDefault="00034286" w:rsidP="00034286">
      <w:pPr>
        <w:pStyle w:val="Nadpis2"/>
      </w:pPr>
      <w:bookmarkStart w:id="41" w:name="_Ref99018345"/>
      <w:r w:rsidRPr="00F57E14">
        <w:t>Zhotovitel se zavazuje</w:t>
      </w:r>
      <w:r w:rsidR="00074810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41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lastRenderedPageBreak/>
        <w:t>Objednateli;</w:t>
      </w:r>
    </w:p>
    <w:p w14:paraId="15557AE2" w14:textId="218E50D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26851FD3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074810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7524661A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37EB726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074810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801AAA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10092E45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074810">
        <w:t xml:space="preserve"> a </w:t>
      </w:r>
      <w:r>
        <w:t>odbornými znalostmi, které jsou</w:t>
      </w:r>
      <w:r w:rsidR="00074810">
        <w:t xml:space="preserve"> k </w:t>
      </w:r>
      <w:r>
        <w:t>provedení díla nezbytné</w:t>
      </w:r>
      <w:r w:rsidR="00074810">
        <w:t xml:space="preserve"> a </w:t>
      </w:r>
      <w:r>
        <w:t>že je dílo</w:t>
      </w:r>
      <w:r w:rsidR="00074810">
        <w:t xml:space="preserve"> v </w:t>
      </w:r>
      <w:r>
        <w:t>daném rozsahu, čase</w:t>
      </w:r>
      <w:r w:rsidR="00074810">
        <w:t xml:space="preserve"> a </w:t>
      </w:r>
      <w:r>
        <w:t>místě realizovatelné.</w:t>
      </w:r>
    </w:p>
    <w:p w14:paraId="23CBEDA7" w14:textId="7A340449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074810">
        <w:t xml:space="preserve"> a </w:t>
      </w:r>
      <w:r>
        <w:t>závazky, vyplývající</w:t>
      </w:r>
      <w:r w:rsidR="00074810">
        <w:t xml:space="preserve"> z </w:t>
      </w:r>
      <w:r>
        <w:t>této smlouvy na třetí osobu.</w:t>
      </w:r>
    </w:p>
    <w:p w14:paraId="6168D3BE" w14:textId="3479E600" w:rsidR="00076CB6" w:rsidRDefault="00076CB6" w:rsidP="00C764ED">
      <w:pPr>
        <w:pStyle w:val="Nadpis2"/>
      </w:pPr>
      <w:r>
        <w:t>Veškerá jednání</w:t>
      </w:r>
      <w:r w:rsidR="00074810">
        <w:t xml:space="preserve"> s </w:t>
      </w:r>
      <w:r>
        <w:t>Objednatelem či státními orgány budou probíhat</w:t>
      </w:r>
      <w:r w:rsidR="00074810">
        <w:t xml:space="preserve"> v </w:t>
      </w:r>
      <w:r>
        <w:t>českém jazyce. Veškeré doklady předávané Objednateli budou</w:t>
      </w:r>
      <w:r w:rsidR="00074810">
        <w:t xml:space="preserve"> v </w:t>
      </w:r>
      <w:r>
        <w:t>českém jazyce.</w:t>
      </w:r>
    </w:p>
    <w:p w14:paraId="26E090F8" w14:textId="576831D1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074810">
        <w:t xml:space="preserve"> z </w:t>
      </w:r>
      <w:r w:rsidRPr="002531E3">
        <w:t>titulu této smlouvy.</w:t>
      </w:r>
    </w:p>
    <w:p w14:paraId="0D900315" w14:textId="15FB817C" w:rsidR="00076CB6" w:rsidRDefault="00A83642" w:rsidP="00C764ED">
      <w:pPr>
        <w:pStyle w:val="Nadpis2"/>
      </w:pPr>
      <w:r>
        <w:t>Nastanou-</w:t>
      </w:r>
      <w:r w:rsidR="00076CB6">
        <w:t>li</w:t>
      </w:r>
      <w:r w:rsidR="00074810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074810">
        <w:t xml:space="preserve"> a </w:t>
      </w:r>
      <w:r w:rsidR="00076CB6">
        <w:t>vyvolat jednání zástupců smluvních stran.</w:t>
      </w:r>
    </w:p>
    <w:p w14:paraId="68D2F50C" w14:textId="2FB6EE69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074810">
        <w:t xml:space="preserve"> V </w:t>
      </w:r>
      <w:r>
        <w:t>případě, že by jakýkoli takovýto článek, odstavec nebo ustanovení mělo</w:t>
      </w:r>
      <w:r w:rsidR="00074810">
        <w:t xml:space="preserve"> z </w:t>
      </w:r>
      <w:r>
        <w:t>jakéhokoli důvodu pozbýt platnosti (zejména</w:t>
      </w:r>
      <w:r w:rsidR="00074810">
        <w:t xml:space="preserve"> z </w:t>
      </w:r>
      <w:r>
        <w:t>důvodu rozporu</w:t>
      </w:r>
      <w:r w:rsidR="00074810">
        <w:t xml:space="preserve"> s </w:t>
      </w:r>
      <w:r>
        <w:t>aplikovatelnými zákony</w:t>
      </w:r>
      <w:r w:rsidR="00074810">
        <w:t xml:space="preserve"> a </w:t>
      </w:r>
      <w:r>
        <w:t>ostatními právními normami), provedou smluvní strany konzultace</w:t>
      </w:r>
      <w:r w:rsidR="00074810">
        <w:t xml:space="preserve"> a </w:t>
      </w:r>
      <w:r>
        <w:t>dohodnou se na právně přijatelném způsobu provedení záměrů obsažených</w:t>
      </w:r>
      <w:r w:rsidR="00074810">
        <w:t xml:space="preserve"> v </w:t>
      </w:r>
      <w:r>
        <w:t>té části smlouvy, jež pozbyla platnosti.</w:t>
      </w:r>
    </w:p>
    <w:p w14:paraId="000FC4F3" w14:textId="11F5DA54" w:rsidR="00076CB6" w:rsidRDefault="00076CB6" w:rsidP="00C764ED">
      <w:pPr>
        <w:pStyle w:val="Nadpis2"/>
      </w:pPr>
      <w:r>
        <w:t>Pro výklad této smlouvy je rovněž závazné znění zadávacích podmínek</w:t>
      </w:r>
      <w:r w:rsidR="00074810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797CCB0D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074810">
        <w:t xml:space="preserve"> k </w:t>
      </w:r>
      <w:r>
        <w:t>realizaci předmětu této smlouvy, avšak tyto povinnosti nejsou výslovně</w:t>
      </w:r>
      <w:r w:rsidR="00074810">
        <w:t xml:space="preserve"> v </w:t>
      </w:r>
      <w:r>
        <w:t>této smlouvě uvedeny, smluvní strany se pro tento případ dohodly, že</w:t>
      </w:r>
      <w:r w:rsidR="00074810">
        <w:t xml:space="preserve"> i </w:t>
      </w:r>
      <w:r>
        <w:t>tyto povinnosti Zhotovitele jsou součástí obsahu závazkového vztahu založeného touto smlouvou</w:t>
      </w:r>
      <w:r w:rsidR="00074810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6E8AE3F0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074810">
        <w:t xml:space="preserve"> a </w:t>
      </w:r>
      <w:r>
        <w:t>budou se týkat závazků vyplývajících</w:t>
      </w:r>
      <w:r w:rsidR="00074810">
        <w:t xml:space="preserve"> z </w:t>
      </w:r>
      <w:r>
        <w:t>této smlouvy, budou řešeny dohodou. Případnému soudnímu sporu</w:t>
      </w:r>
      <w:r w:rsidR="00074810">
        <w:t xml:space="preserve"> z </w:t>
      </w:r>
      <w:r>
        <w:t>této smlouvy bude předcházet snaha smluvních stran</w:t>
      </w:r>
      <w:r w:rsidR="00074810">
        <w:t xml:space="preserve"> o </w:t>
      </w:r>
      <w:r>
        <w:t>řešení sporu smírem.</w:t>
      </w:r>
    </w:p>
    <w:p w14:paraId="0AC03A09" w14:textId="09169385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074810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2CD90065" w:rsidR="00076CB6" w:rsidRDefault="00076CB6" w:rsidP="00C764ED">
      <w:pPr>
        <w:pStyle w:val="Nadpis2"/>
      </w:pPr>
      <w:r>
        <w:lastRenderedPageBreak/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074810">
        <w:t xml:space="preserve"> a </w:t>
      </w:r>
      <w:r>
        <w:t>lze ji doplnit, upřesnit či změnit pouze číslovanými písemnými dodatky, které se po odsouhlasení</w:t>
      </w:r>
      <w:r w:rsidR="00074810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2F525715" w:rsidR="00076CB6" w:rsidRDefault="00076CB6" w:rsidP="00C764ED">
      <w:pPr>
        <w:pStyle w:val="Nadpis2"/>
      </w:pPr>
      <w:r>
        <w:t>Tato smlouva nabývá účinnosti dnem uveřejnění</w:t>
      </w:r>
      <w:r w:rsidR="00074810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074810">
        <w:t xml:space="preserve"> o </w:t>
      </w:r>
      <w:r w:rsidRPr="003003BA">
        <w:t>zvláštních podmínkách účinnosti některých smluv, uveřejňování těchto smluv</w:t>
      </w:r>
      <w:r w:rsidR="00074810">
        <w:t xml:space="preserve"> a o </w:t>
      </w:r>
      <w:r w:rsidRPr="003003BA">
        <w:t>registru smluv (zákon</w:t>
      </w:r>
      <w:r w:rsidR="00074810">
        <w:t xml:space="preserve"> o </w:t>
      </w:r>
      <w:r w:rsidRPr="003003BA">
        <w:t>registru smluv)</w:t>
      </w:r>
      <w:r>
        <w:t>. Uveřejnění</w:t>
      </w:r>
      <w:r w:rsidR="00074810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5D9A5DA8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074810">
        <w:t xml:space="preserve"> a </w:t>
      </w:r>
      <w:r w:rsidRPr="004C3F64">
        <w:t>to včetně všech případných příloh</w:t>
      </w:r>
      <w:r w:rsidR="00074810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074810">
        <w:t xml:space="preserve"> s </w:t>
      </w:r>
      <w:r w:rsidRPr="004C3F64">
        <w:t>požadavkem na anonymizaci.</w:t>
      </w:r>
    </w:p>
    <w:p w14:paraId="4FF8CE1E" w14:textId="55C0412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074810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1C109707" w:rsidR="00076CB6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074810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63A525A" w:rsidR="00D717BD" w:rsidRPr="00CD5763" w:rsidRDefault="00D717BD" w:rsidP="00E953A8">
      <w:pPr>
        <w:pStyle w:val="Nadpis2"/>
      </w:pPr>
      <w:r w:rsidRPr="00CD5763">
        <w:t>Na důkaz svého souhlasu</w:t>
      </w:r>
      <w:r w:rsidR="00074810">
        <w:t xml:space="preserve"> s </w:t>
      </w:r>
      <w:r w:rsidRPr="00CD5763">
        <w:t>obsahem této smlouvy</w:t>
      </w:r>
      <w:r w:rsidR="00074810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074810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6B94FA68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074810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251B433F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7E676D68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074810">
        <w:rPr>
          <w:highlight w:val="yellow"/>
        </w:rPr>
        <w:t xml:space="preserve"> a </w:t>
      </w:r>
      <w:r>
        <w:rPr>
          <w:highlight w:val="yellow"/>
        </w:rPr>
        <w:t>cena</w:t>
      </w:r>
      <w:r w:rsidR="00074810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1114EE0D" w14:textId="1C8D4A9C" w:rsidR="005C4C48" w:rsidRDefault="005C4C48" w:rsidP="005C4C48">
      <w:pPr>
        <w:pStyle w:val="Titulek"/>
        <w:keepNext/>
      </w:pPr>
      <w:r w:rsidRPr="009766C8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8B57A8">
        <w:rPr>
          <w:noProof/>
        </w:rPr>
        <w:t>2</w:t>
      </w:r>
      <w:r>
        <w:rPr>
          <w:noProof/>
        </w:rPr>
        <w:fldChar w:fldCharType="end"/>
      </w:r>
      <w:r w:rsidRPr="009766C8">
        <w:t xml:space="preserve">: </w:t>
      </w:r>
      <w:r w:rsidRPr="009766C8">
        <w:rPr>
          <w:sz w:val="24"/>
          <w:szCs w:val="36"/>
        </w:rPr>
        <w:t>Harmonogram plnění</w:t>
      </w:r>
      <w:r w:rsidRPr="009766C8">
        <w:t xml:space="preserve"> – 1. část</w:t>
      </w:r>
    </w:p>
    <w:p w14:paraId="48B9225A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076CB6" w:rsidRPr="00A25767" w14:paraId="5F23E577" w14:textId="77777777" w:rsidTr="002E0A05">
        <w:trPr>
          <w:trHeight w:val="397"/>
          <w:jc w:val="center"/>
        </w:trPr>
        <w:tc>
          <w:tcPr>
            <w:tcW w:w="572" w:type="dxa"/>
            <w:vAlign w:val="center"/>
          </w:tcPr>
          <w:p w14:paraId="0167BCAD" w14:textId="77777777" w:rsidR="00076CB6" w:rsidRDefault="00076CB6" w:rsidP="00C764ED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03BDF47F" w14:textId="77777777" w:rsidR="00076CB6" w:rsidRDefault="00076CB6" w:rsidP="00833C48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9594FBB" w14:textId="77777777" w:rsidR="00076CB6" w:rsidRDefault="00076CB6" w:rsidP="00833C48">
            <w:pPr>
              <w:pStyle w:val="NormlnTunPed18b"/>
              <w:spacing w:before="0"/>
            </w:pPr>
            <w:r>
              <w:t>Pracovní den ukončení činnosti</w:t>
            </w:r>
          </w:p>
          <w:p w14:paraId="6254829E" w14:textId="77777777" w:rsidR="00076CB6" w:rsidRDefault="00076CB6" w:rsidP="00833C48">
            <w:pPr>
              <w:pStyle w:val="NormlnTunPed18b"/>
              <w:spacing w:before="0"/>
            </w:pPr>
            <w:r>
              <w:t xml:space="preserve">od </w:t>
            </w:r>
            <w:r w:rsidR="00983BE8">
              <w:t>nabytí účinnosti</w:t>
            </w:r>
            <w:r>
              <w:t xml:space="preserve"> této smlouvy</w:t>
            </w:r>
          </w:p>
        </w:tc>
      </w:tr>
      <w:tr w:rsidR="00146A81" w14:paraId="73D46761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7F26E456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212BCD8" w14:textId="40956D3D" w:rsidR="00146A81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Implementační a</w:t>
            </w:r>
            <w:r w:rsidRPr="00146A81">
              <w:rPr>
                <w:b w:val="0"/>
                <w:bCs w:val="0"/>
              </w:rPr>
              <w:t>nalýza</w:t>
            </w:r>
            <w:r w:rsidR="00074810">
              <w:rPr>
                <w:b w:val="0"/>
                <w:bCs w:val="0"/>
              </w:rPr>
              <w:t xml:space="preserve"> a </w:t>
            </w:r>
            <w:r w:rsidR="00146A81" w:rsidRPr="00146A81">
              <w:rPr>
                <w:b w:val="0"/>
                <w:bCs w:val="0"/>
              </w:rPr>
              <w:t>návrh řešení.</w:t>
            </w:r>
          </w:p>
        </w:tc>
        <w:tc>
          <w:tcPr>
            <w:tcW w:w="3339" w:type="dxa"/>
            <w:vAlign w:val="center"/>
          </w:tcPr>
          <w:p w14:paraId="73E358D9" w14:textId="54775119" w:rsidR="00146A81" w:rsidRPr="002E0A05" w:rsidRDefault="00F06137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20</w:t>
            </w:r>
            <w:r w:rsidR="00146A81" w:rsidRPr="002E0A05">
              <w:rPr>
                <w:b w:val="0"/>
              </w:rPr>
              <w:t>.</w:t>
            </w:r>
          </w:p>
        </w:tc>
      </w:tr>
      <w:tr w:rsidR="00A423AA" w14:paraId="10298232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5ADB9483" w14:textId="77777777" w:rsidR="00A423AA" w:rsidRPr="007B459A" w:rsidRDefault="00A423AA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4DD5981" w14:textId="0C8A2F35" w:rsidR="00A423AA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A423AA">
              <w:rPr>
                <w:b w:val="0"/>
                <w:bCs w:val="0"/>
              </w:rPr>
              <w:t>Schválení implementační analýzy</w:t>
            </w:r>
            <w:r w:rsidR="00074810">
              <w:rPr>
                <w:b w:val="0"/>
                <w:bCs w:val="0"/>
              </w:rPr>
              <w:t xml:space="preserve"> a </w:t>
            </w:r>
            <w:r w:rsidRPr="00A423AA">
              <w:rPr>
                <w:b w:val="0"/>
                <w:bCs w:val="0"/>
              </w:rPr>
              <w:t>návrhu řešení</w:t>
            </w:r>
            <w:r>
              <w:rPr>
                <w:b w:val="0"/>
                <w:bCs w:val="0"/>
              </w:rPr>
              <w:t xml:space="preserve"> objednatelem</w:t>
            </w:r>
          </w:p>
        </w:tc>
        <w:tc>
          <w:tcPr>
            <w:tcW w:w="3339" w:type="dxa"/>
            <w:vAlign w:val="center"/>
          </w:tcPr>
          <w:p w14:paraId="2ABF83A1" w14:textId="006F1F7A" w:rsidR="00A423AA" w:rsidRDefault="00F06137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146A81" w14:paraId="2608EAB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68ED978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139935B" w14:textId="741B99F8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Implementace Transakčního portálu.</w:t>
            </w:r>
          </w:p>
        </w:tc>
        <w:tc>
          <w:tcPr>
            <w:tcW w:w="3339" w:type="dxa"/>
            <w:vAlign w:val="center"/>
          </w:tcPr>
          <w:p w14:paraId="38D6DDD4" w14:textId="4217344E" w:rsidR="00146A81" w:rsidRPr="002E0A05" w:rsidRDefault="00F06137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83</w:t>
            </w:r>
            <w:r w:rsidR="00146A81" w:rsidRPr="002E0A05">
              <w:rPr>
                <w:b w:val="0"/>
              </w:rPr>
              <w:t>.</w:t>
            </w:r>
          </w:p>
        </w:tc>
      </w:tr>
      <w:tr w:rsidR="00146A81" w14:paraId="2FA2AD8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F20C951" w14:textId="77777777" w:rsidR="00146A81" w:rsidRPr="007B459A" w:rsidRDefault="00146A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7D7FEAB" w14:textId="6E4C8876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 w:rsidR="00074810"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6451C295" w14:textId="0F3E7BE4" w:rsidR="00146A81" w:rsidRPr="002E0A05" w:rsidRDefault="00F06137" w:rsidP="00146A8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103</w:t>
            </w:r>
            <w:r w:rsidR="00146A81" w:rsidRPr="002E0A05">
              <w:rPr>
                <w:b w:val="0"/>
              </w:rPr>
              <w:t>.</w:t>
            </w:r>
          </w:p>
        </w:tc>
      </w:tr>
      <w:tr w:rsidR="00491F4A" w14:paraId="31A89C0E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03422E8" w14:textId="77777777" w:rsidR="00491F4A" w:rsidRPr="007B459A" w:rsidRDefault="00491F4A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B2C1246" w14:textId="10BFF7FD" w:rsidR="00491F4A" w:rsidRPr="00491F4A" w:rsidRDefault="00491F4A" w:rsidP="00C764ED">
            <w:pPr>
              <w:pStyle w:val="NormlnTunPed18b"/>
              <w:spacing w:before="0"/>
              <w:jc w:val="both"/>
              <w:rPr>
                <w:b w:val="0"/>
                <w:bCs w:val="0"/>
              </w:rPr>
            </w:pPr>
            <w:r w:rsidRPr="00491F4A">
              <w:rPr>
                <w:b w:val="0"/>
                <w:bCs w:val="0"/>
              </w:rPr>
              <w:t>Zkušební provoz</w:t>
            </w:r>
            <w:r w:rsidR="00074810"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04C5C1CE" w14:textId="6B2399D1" w:rsidR="00491F4A" w:rsidRDefault="00F06137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123</w:t>
            </w:r>
            <w:r w:rsidR="00491F4A">
              <w:rPr>
                <w:b w:val="0"/>
              </w:rPr>
              <w:t>.</w:t>
            </w:r>
          </w:p>
        </w:tc>
      </w:tr>
      <w:tr w:rsidR="00FE4E81" w14:paraId="1B32797A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0EE75D33" w14:textId="77777777" w:rsidR="00FE4E81" w:rsidRPr="007B459A" w:rsidRDefault="00FE4E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CEF2280" w14:textId="77777777" w:rsidR="00FE4E81" w:rsidRDefault="00FE4E81" w:rsidP="00C764ED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5D0B7272" w14:textId="4FD0C569" w:rsidR="00FE4E81" w:rsidRPr="002E0A05" w:rsidRDefault="00F06137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130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1924F461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A6AECAC" w14:textId="77777777" w:rsidR="00FE4E81" w:rsidRPr="007B459A" w:rsidRDefault="00FE4E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3067AE4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5AA57922" w14:textId="173228EF" w:rsidR="00FE4E81" w:rsidRPr="002E0A05" w:rsidRDefault="00F06137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130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5ADD5A6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39BFFDB6" w14:textId="77777777" w:rsidR="00FE4E81" w:rsidRPr="007B459A" w:rsidRDefault="00FE4E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5750C1B" w14:textId="29B835F0" w:rsidR="00FE4E81" w:rsidRDefault="00FE4E81" w:rsidP="00C764ED">
            <w:pPr>
              <w:pStyle w:val="NormlnTunPed18b"/>
              <w:spacing w:before="0"/>
              <w:jc w:val="both"/>
            </w:pPr>
            <w:r>
              <w:t>Předání</w:t>
            </w:r>
            <w:r w:rsidR="00074810">
              <w:t xml:space="preserve"> a </w:t>
            </w:r>
            <w:r>
              <w:t>převzetí díla</w:t>
            </w:r>
            <w:r w:rsidR="0061148D">
              <w:t xml:space="preserve"> </w:t>
            </w:r>
            <w:r w:rsidR="0061148D" w:rsidRPr="0061148D">
              <w:t>jako celku</w:t>
            </w:r>
          </w:p>
        </w:tc>
        <w:tc>
          <w:tcPr>
            <w:tcW w:w="3339" w:type="dxa"/>
            <w:vAlign w:val="center"/>
          </w:tcPr>
          <w:p w14:paraId="465E2B3E" w14:textId="7A591FDA" w:rsidR="00FE4E81" w:rsidRPr="002E0A05" w:rsidRDefault="00F06137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130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70387EA8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18E9F8E7" w14:textId="77777777" w:rsidR="00FE4E81" w:rsidRPr="007B459A" w:rsidRDefault="00FE4E81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2FE8737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599625E4" w14:textId="4827F5E4" w:rsidR="00FE4E81" w:rsidRPr="002E0A05" w:rsidRDefault="00F06137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131</w:t>
            </w:r>
            <w:r w:rsidR="00FE4E81" w:rsidRPr="002E0A05">
              <w:rPr>
                <w:b w:val="0"/>
              </w:rPr>
              <w:t>.</w:t>
            </w:r>
          </w:p>
        </w:tc>
      </w:tr>
    </w:tbl>
    <w:p w14:paraId="4C702EFE" w14:textId="77777777" w:rsidR="00E5104E" w:rsidRPr="00E314D4" w:rsidRDefault="00E5104E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E5104E" w:rsidRPr="00E314D4" w:rsidSect="004700A3">
      <w:footerReference w:type="default" r:id="rId10"/>
      <w:headerReference w:type="first" r:id="rId11"/>
      <w:footerReference w:type="first" r:id="rId12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14C5" w14:textId="77777777" w:rsidR="0048435D" w:rsidRDefault="0048435D">
      <w:r>
        <w:separator/>
      </w:r>
    </w:p>
    <w:p w14:paraId="373E8F67" w14:textId="77777777" w:rsidR="0048435D" w:rsidRDefault="0048435D"/>
    <w:p w14:paraId="761020FB" w14:textId="77777777" w:rsidR="0048435D" w:rsidRDefault="0048435D"/>
    <w:p w14:paraId="63CE30B9" w14:textId="77777777" w:rsidR="0048435D" w:rsidRDefault="0048435D"/>
    <w:p w14:paraId="783006A4" w14:textId="77777777" w:rsidR="0048435D" w:rsidRDefault="0048435D"/>
    <w:p w14:paraId="657BAED2" w14:textId="77777777" w:rsidR="0048435D" w:rsidRDefault="0048435D"/>
    <w:p w14:paraId="54EEA832" w14:textId="77777777" w:rsidR="0048435D" w:rsidRDefault="0048435D"/>
    <w:p w14:paraId="62B7744F" w14:textId="77777777" w:rsidR="0048435D" w:rsidRDefault="0048435D"/>
  </w:endnote>
  <w:endnote w:type="continuationSeparator" w:id="0">
    <w:p w14:paraId="1BF8C308" w14:textId="77777777" w:rsidR="0048435D" w:rsidRDefault="0048435D">
      <w:r>
        <w:continuationSeparator/>
      </w:r>
    </w:p>
    <w:p w14:paraId="315ECA92" w14:textId="77777777" w:rsidR="0048435D" w:rsidRDefault="0048435D"/>
    <w:p w14:paraId="1C8E1384" w14:textId="77777777" w:rsidR="0048435D" w:rsidRDefault="0048435D"/>
    <w:p w14:paraId="118F6594" w14:textId="77777777" w:rsidR="0048435D" w:rsidRDefault="0048435D"/>
    <w:p w14:paraId="4538A233" w14:textId="77777777" w:rsidR="0048435D" w:rsidRDefault="0048435D"/>
    <w:p w14:paraId="28B36AA7" w14:textId="77777777" w:rsidR="0048435D" w:rsidRDefault="0048435D"/>
    <w:p w14:paraId="060F4045" w14:textId="77777777" w:rsidR="0048435D" w:rsidRDefault="0048435D"/>
    <w:p w14:paraId="12214201" w14:textId="77777777" w:rsidR="0048435D" w:rsidRDefault="00484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3E54E63D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9A7BBD">
      <w:rPr>
        <w:noProof/>
        <w:snapToGrid w:val="0"/>
      </w:rPr>
      <w:t>NT Priloha c. 5 ZD V09 1. cast TP Smlouva o dilo a podpore v7.docx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62B35182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3AC1" w14:textId="77777777" w:rsidR="0048435D" w:rsidRDefault="0048435D">
      <w:r>
        <w:separator/>
      </w:r>
    </w:p>
    <w:p w14:paraId="697D07D4" w14:textId="77777777" w:rsidR="0048435D" w:rsidRDefault="0048435D"/>
    <w:p w14:paraId="7CA24AD2" w14:textId="77777777" w:rsidR="0048435D" w:rsidRDefault="0048435D"/>
    <w:p w14:paraId="791D4F53" w14:textId="77777777" w:rsidR="0048435D" w:rsidRDefault="0048435D"/>
    <w:p w14:paraId="747918DD" w14:textId="77777777" w:rsidR="0048435D" w:rsidRDefault="0048435D"/>
    <w:p w14:paraId="64BBBDE9" w14:textId="77777777" w:rsidR="0048435D" w:rsidRDefault="0048435D"/>
    <w:p w14:paraId="11717594" w14:textId="77777777" w:rsidR="0048435D" w:rsidRDefault="0048435D"/>
    <w:p w14:paraId="48B871C0" w14:textId="77777777" w:rsidR="0048435D" w:rsidRDefault="0048435D"/>
  </w:footnote>
  <w:footnote w:type="continuationSeparator" w:id="0">
    <w:p w14:paraId="3C5314EC" w14:textId="77777777" w:rsidR="0048435D" w:rsidRDefault="0048435D">
      <w:r>
        <w:continuationSeparator/>
      </w:r>
    </w:p>
    <w:p w14:paraId="5A5670C8" w14:textId="77777777" w:rsidR="0048435D" w:rsidRDefault="0048435D"/>
    <w:p w14:paraId="41319AB3" w14:textId="77777777" w:rsidR="0048435D" w:rsidRDefault="0048435D"/>
    <w:p w14:paraId="27088A0A" w14:textId="77777777" w:rsidR="0048435D" w:rsidRDefault="0048435D"/>
    <w:p w14:paraId="0DA46047" w14:textId="77777777" w:rsidR="0048435D" w:rsidRDefault="0048435D"/>
    <w:p w14:paraId="760E3192" w14:textId="77777777" w:rsidR="0048435D" w:rsidRDefault="0048435D"/>
    <w:p w14:paraId="1990AD92" w14:textId="77777777" w:rsidR="0048435D" w:rsidRDefault="0048435D"/>
    <w:p w14:paraId="5E5F7382" w14:textId="77777777" w:rsidR="0048435D" w:rsidRDefault="00484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9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5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8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22"/>
  </w:num>
  <w:num w:numId="2" w16cid:durableId="154683934">
    <w:abstractNumId w:val="8"/>
  </w:num>
  <w:num w:numId="3" w16cid:durableId="72241757">
    <w:abstractNumId w:val="24"/>
  </w:num>
  <w:num w:numId="4" w16cid:durableId="1453785399">
    <w:abstractNumId w:val="20"/>
  </w:num>
  <w:num w:numId="5" w16cid:durableId="404840046">
    <w:abstractNumId w:val="13"/>
  </w:num>
  <w:num w:numId="6" w16cid:durableId="979463440">
    <w:abstractNumId w:val="23"/>
  </w:num>
  <w:num w:numId="7" w16cid:durableId="439228434">
    <w:abstractNumId w:val="25"/>
  </w:num>
  <w:num w:numId="8" w16cid:durableId="161823027">
    <w:abstractNumId w:val="26"/>
  </w:num>
  <w:num w:numId="9" w16cid:durableId="1411656606">
    <w:abstractNumId w:val="6"/>
  </w:num>
  <w:num w:numId="10" w16cid:durableId="686834708">
    <w:abstractNumId w:val="27"/>
  </w:num>
  <w:num w:numId="11" w16cid:durableId="1911495767">
    <w:abstractNumId w:val="0"/>
  </w:num>
  <w:num w:numId="12" w16cid:durableId="679044041">
    <w:abstractNumId w:val="11"/>
  </w:num>
  <w:num w:numId="13" w16cid:durableId="190725681">
    <w:abstractNumId w:val="19"/>
  </w:num>
  <w:num w:numId="14" w16cid:durableId="188416783">
    <w:abstractNumId w:val="10"/>
  </w:num>
  <w:num w:numId="15" w16cid:durableId="1793018911">
    <w:abstractNumId w:val="29"/>
  </w:num>
  <w:num w:numId="16" w16cid:durableId="1759053969">
    <w:abstractNumId w:val="2"/>
  </w:num>
  <w:num w:numId="17" w16cid:durableId="146752405">
    <w:abstractNumId w:val="17"/>
  </w:num>
  <w:num w:numId="18" w16cid:durableId="699891521">
    <w:abstractNumId w:val="14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28"/>
  </w:num>
  <w:num w:numId="22" w16cid:durableId="1226842207">
    <w:abstractNumId w:val="5"/>
  </w:num>
  <w:num w:numId="23" w16cid:durableId="790631245">
    <w:abstractNumId w:val="21"/>
  </w:num>
  <w:num w:numId="24" w16cid:durableId="754548202">
    <w:abstractNumId w:val="7"/>
  </w:num>
  <w:num w:numId="25" w16cid:durableId="162597446">
    <w:abstractNumId w:val="9"/>
  </w:num>
  <w:num w:numId="26" w16cid:durableId="486365114">
    <w:abstractNumId w:val="15"/>
  </w:num>
  <w:num w:numId="27" w16cid:durableId="1641496185">
    <w:abstractNumId w:val="12"/>
  </w:num>
  <w:num w:numId="28" w16cid:durableId="623392499">
    <w:abstractNumId w:val="16"/>
  </w:num>
  <w:num w:numId="29" w16cid:durableId="1041974947">
    <w:abstractNumId w:val="18"/>
  </w:num>
  <w:num w:numId="30" w16cid:durableId="1384282854">
    <w:abstractNumId w:val="0"/>
  </w:num>
  <w:num w:numId="31" w16cid:durableId="41301326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064E"/>
    <w:rsid w:val="000023F5"/>
    <w:rsid w:val="00002BD1"/>
    <w:rsid w:val="0000400F"/>
    <w:rsid w:val="0000496D"/>
    <w:rsid w:val="00004B7F"/>
    <w:rsid w:val="0001022F"/>
    <w:rsid w:val="00010435"/>
    <w:rsid w:val="00010DAE"/>
    <w:rsid w:val="000123E6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4810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686"/>
    <w:rsid w:val="00090810"/>
    <w:rsid w:val="0009143E"/>
    <w:rsid w:val="000925F1"/>
    <w:rsid w:val="00092E14"/>
    <w:rsid w:val="000930A6"/>
    <w:rsid w:val="000938A4"/>
    <w:rsid w:val="00094890"/>
    <w:rsid w:val="00095589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0F6DFB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4741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0CEC"/>
    <w:rsid w:val="001712E9"/>
    <w:rsid w:val="001726E6"/>
    <w:rsid w:val="001742B4"/>
    <w:rsid w:val="00174877"/>
    <w:rsid w:val="001813DC"/>
    <w:rsid w:val="001815A4"/>
    <w:rsid w:val="00187298"/>
    <w:rsid w:val="00187E36"/>
    <w:rsid w:val="0019034F"/>
    <w:rsid w:val="00192203"/>
    <w:rsid w:val="00194902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B725A"/>
    <w:rsid w:val="001C40BE"/>
    <w:rsid w:val="001C43CF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28E9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4BA1"/>
    <w:rsid w:val="00215E55"/>
    <w:rsid w:val="00221CBF"/>
    <w:rsid w:val="00222870"/>
    <w:rsid w:val="00223DD5"/>
    <w:rsid w:val="00225C2E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B2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33F"/>
    <w:rsid w:val="00277B79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74E4"/>
    <w:rsid w:val="002B3942"/>
    <w:rsid w:val="002B43A9"/>
    <w:rsid w:val="002B4F3F"/>
    <w:rsid w:val="002B6A25"/>
    <w:rsid w:val="002C222C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0FD3"/>
    <w:rsid w:val="003012BB"/>
    <w:rsid w:val="00303DA6"/>
    <w:rsid w:val="00303EA0"/>
    <w:rsid w:val="00304BA4"/>
    <w:rsid w:val="00306F18"/>
    <w:rsid w:val="00306FAA"/>
    <w:rsid w:val="003072BA"/>
    <w:rsid w:val="0030775F"/>
    <w:rsid w:val="00310F45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7EDF"/>
    <w:rsid w:val="00327EED"/>
    <w:rsid w:val="003321D7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237F"/>
    <w:rsid w:val="00352A87"/>
    <w:rsid w:val="00352DA6"/>
    <w:rsid w:val="003539E1"/>
    <w:rsid w:val="0035433A"/>
    <w:rsid w:val="003550C4"/>
    <w:rsid w:val="00361045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14F8"/>
    <w:rsid w:val="003831F9"/>
    <w:rsid w:val="00384E78"/>
    <w:rsid w:val="00387EF5"/>
    <w:rsid w:val="00391994"/>
    <w:rsid w:val="00393B18"/>
    <w:rsid w:val="003968C0"/>
    <w:rsid w:val="00397227"/>
    <w:rsid w:val="003A180C"/>
    <w:rsid w:val="003A3150"/>
    <w:rsid w:val="003A39D7"/>
    <w:rsid w:val="003A453C"/>
    <w:rsid w:val="003A48BB"/>
    <w:rsid w:val="003A6F03"/>
    <w:rsid w:val="003A71C7"/>
    <w:rsid w:val="003B317A"/>
    <w:rsid w:val="003B4BD8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402624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17677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435D"/>
    <w:rsid w:val="00485B4F"/>
    <w:rsid w:val="00486760"/>
    <w:rsid w:val="00486A6F"/>
    <w:rsid w:val="00491F4A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62FF"/>
    <w:rsid w:val="00547437"/>
    <w:rsid w:val="00550CF0"/>
    <w:rsid w:val="005538C9"/>
    <w:rsid w:val="00553B00"/>
    <w:rsid w:val="00553CA3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6DC1"/>
    <w:rsid w:val="00567190"/>
    <w:rsid w:val="00567779"/>
    <w:rsid w:val="00567D49"/>
    <w:rsid w:val="005707E2"/>
    <w:rsid w:val="00571D1A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D7FA5"/>
    <w:rsid w:val="005E06C0"/>
    <w:rsid w:val="005E0849"/>
    <w:rsid w:val="005E141B"/>
    <w:rsid w:val="005E28A7"/>
    <w:rsid w:val="005E312E"/>
    <w:rsid w:val="005E66B4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7D8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500FC"/>
    <w:rsid w:val="006523BA"/>
    <w:rsid w:val="006562A9"/>
    <w:rsid w:val="00661BD8"/>
    <w:rsid w:val="00662052"/>
    <w:rsid w:val="00662A40"/>
    <w:rsid w:val="00665251"/>
    <w:rsid w:val="006660BD"/>
    <w:rsid w:val="00670F19"/>
    <w:rsid w:val="00671599"/>
    <w:rsid w:val="006716F2"/>
    <w:rsid w:val="006737E4"/>
    <w:rsid w:val="006751B6"/>
    <w:rsid w:val="00675C26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9F1"/>
    <w:rsid w:val="006E6D92"/>
    <w:rsid w:val="006E6FAC"/>
    <w:rsid w:val="006E7A8B"/>
    <w:rsid w:val="006E7F73"/>
    <w:rsid w:val="006F201B"/>
    <w:rsid w:val="006F2129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10B7A"/>
    <w:rsid w:val="00713701"/>
    <w:rsid w:val="0071387E"/>
    <w:rsid w:val="0071504E"/>
    <w:rsid w:val="0071601F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3E04"/>
    <w:rsid w:val="00735B1C"/>
    <w:rsid w:val="007362F4"/>
    <w:rsid w:val="00737942"/>
    <w:rsid w:val="00741854"/>
    <w:rsid w:val="00742C91"/>
    <w:rsid w:val="00743441"/>
    <w:rsid w:val="00744665"/>
    <w:rsid w:val="00746FEE"/>
    <w:rsid w:val="00751F5D"/>
    <w:rsid w:val="0075311D"/>
    <w:rsid w:val="00753CF8"/>
    <w:rsid w:val="0075526F"/>
    <w:rsid w:val="007558B4"/>
    <w:rsid w:val="0075716D"/>
    <w:rsid w:val="0075765A"/>
    <w:rsid w:val="00760C04"/>
    <w:rsid w:val="0076112A"/>
    <w:rsid w:val="00761E59"/>
    <w:rsid w:val="00762F1E"/>
    <w:rsid w:val="00763DF6"/>
    <w:rsid w:val="00765F0E"/>
    <w:rsid w:val="0076718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70B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709E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E3B"/>
    <w:rsid w:val="00865A35"/>
    <w:rsid w:val="00870654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793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6444"/>
    <w:rsid w:val="008A6B69"/>
    <w:rsid w:val="008B1CB7"/>
    <w:rsid w:val="008B1F2E"/>
    <w:rsid w:val="008B28C8"/>
    <w:rsid w:val="008B57A8"/>
    <w:rsid w:val="008B6662"/>
    <w:rsid w:val="008B7A41"/>
    <w:rsid w:val="008C0A9A"/>
    <w:rsid w:val="008C1F17"/>
    <w:rsid w:val="008C37DE"/>
    <w:rsid w:val="008C448F"/>
    <w:rsid w:val="008C64EA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1A56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AEB"/>
    <w:rsid w:val="00967B0C"/>
    <w:rsid w:val="00973220"/>
    <w:rsid w:val="009745A1"/>
    <w:rsid w:val="00976561"/>
    <w:rsid w:val="009766C8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3EB9"/>
    <w:rsid w:val="00995151"/>
    <w:rsid w:val="00996538"/>
    <w:rsid w:val="00997540"/>
    <w:rsid w:val="00997733"/>
    <w:rsid w:val="00997F3B"/>
    <w:rsid w:val="009A16EB"/>
    <w:rsid w:val="009A17DF"/>
    <w:rsid w:val="009A5B96"/>
    <w:rsid w:val="009A7BBD"/>
    <w:rsid w:val="009B2C5A"/>
    <w:rsid w:val="009B72B4"/>
    <w:rsid w:val="009B73CA"/>
    <w:rsid w:val="009C0682"/>
    <w:rsid w:val="009C0809"/>
    <w:rsid w:val="009C0F53"/>
    <w:rsid w:val="009C2859"/>
    <w:rsid w:val="009C31AA"/>
    <w:rsid w:val="009C56D6"/>
    <w:rsid w:val="009C6F81"/>
    <w:rsid w:val="009D0227"/>
    <w:rsid w:val="009D11D6"/>
    <w:rsid w:val="009D3800"/>
    <w:rsid w:val="009D4E2A"/>
    <w:rsid w:val="009D4FD2"/>
    <w:rsid w:val="009D5EE1"/>
    <w:rsid w:val="009D62AB"/>
    <w:rsid w:val="009D67E7"/>
    <w:rsid w:val="009D7FCA"/>
    <w:rsid w:val="009E2A27"/>
    <w:rsid w:val="009E3961"/>
    <w:rsid w:val="009E5FCF"/>
    <w:rsid w:val="009E777D"/>
    <w:rsid w:val="009E78B7"/>
    <w:rsid w:val="009F05D1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229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B6B"/>
    <w:rsid w:val="00A34F10"/>
    <w:rsid w:val="00A357C2"/>
    <w:rsid w:val="00A361B0"/>
    <w:rsid w:val="00A37BC6"/>
    <w:rsid w:val="00A423AA"/>
    <w:rsid w:val="00A4486D"/>
    <w:rsid w:val="00A44F4B"/>
    <w:rsid w:val="00A50C96"/>
    <w:rsid w:val="00A544B8"/>
    <w:rsid w:val="00A550ED"/>
    <w:rsid w:val="00A55FAE"/>
    <w:rsid w:val="00A56EBB"/>
    <w:rsid w:val="00A61F14"/>
    <w:rsid w:val="00A6230B"/>
    <w:rsid w:val="00A6388F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2E88"/>
    <w:rsid w:val="00A77811"/>
    <w:rsid w:val="00A817B4"/>
    <w:rsid w:val="00A82B5B"/>
    <w:rsid w:val="00A833DE"/>
    <w:rsid w:val="00A83642"/>
    <w:rsid w:val="00A84825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68E8"/>
    <w:rsid w:val="00AE001B"/>
    <w:rsid w:val="00AE18D6"/>
    <w:rsid w:val="00AE229A"/>
    <w:rsid w:val="00AE4813"/>
    <w:rsid w:val="00AE6432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3054D"/>
    <w:rsid w:val="00B30808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1C7B"/>
    <w:rsid w:val="00B54004"/>
    <w:rsid w:val="00B55A47"/>
    <w:rsid w:val="00B55A9B"/>
    <w:rsid w:val="00B573B9"/>
    <w:rsid w:val="00B6237A"/>
    <w:rsid w:val="00B62420"/>
    <w:rsid w:val="00B67063"/>
    <w:rsid w:val="00B7414E"/>
    <w:rsid w:val="00B74BFD"/>
    <w:rsid w:val="00B75F33"/>
    <w:rsid w:val="00B80B05"/>
    <w:rsid w:val="00B80B62"/>
    <w:rsid w:val="00B80D2E"/>
    <w:rsid w:val="00B81EA3"/>
    <w:rsid w:val="00B821BC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1BAF"/>
    <w:rsid w:val="00BF2123"/>
    <w:rsid w:val="00BF418D"/>
    <w:rsid w:val="00BF6353"/>
    <w:rsid w:val="00C004A6"/>
    <w:rsid w:val="00C00883"/>
    <w:rsid w:val="00C01C9A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63D1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F12BA"/>
    <w:rsid w:val="00CF6331"/>
    <w:rsid w:val="00D03BFB"/>
    <w:rsid w:val="00D04033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6E5"/>
    <w:rsid w:val="00D63884"/>
    <w:rsid w:val="00D65752"/>
    <w:rsid w:val="00D6734C"/>
    <w:rsid w:val="00D700D3"/>
    <w:rsid w:val="00D717BD"/>
    <w:rsid w:val="00D71D97"/>
    <w:rsid w:val="00D82CDF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5D38"/>
    <w:rsid w:val="00D975EF"/>
    <w:rsid w:val="00DA038C"/>
    <w:rsid w:val="00DA14EB"/>
    <w:rsid w:val="00DA1873"/>
    <w:rsid w:val="00DA2377"/>
    <w:rsid w:val="00DA2765"/>
    <w:rsid w:val="00DA3363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B7F72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2075"/>
    <w:rsid w:val="00E24045"/>
    <w:rsid w:val="00E252EE"/>
    <w:rsid w:val="00E27B97"/>
    <w:rsid w:val="00E30BA9"/>
    <w:rsid w:val="00E313D1"/>
    <w:rsid w:val="00E314D4"/>
    <w:rsid w:val="00E31DD6"/>
    <w:rsid w:val="00E33F3D"/>
    <w:rsid w:val="00E36EED"/>
    <w:rsid w:val="00E37678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04E"/>
    <w:rsid w:val="00E51825"/>
    <w:rsid w:val="00E51FF2"/>
    <w:rsid w:val="00E55161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6486"/>
    <w:rsid w:val="00ED2AF9"/>
    <w:rsid w:val="00ED64E7"/>
    <w:rsid w:val="00ED7108"/>
    <w:rsid w:val="00ED7157"/>
    <w:rsid w:val="00ED73EB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137"/>
    <w:rsid w:val="00F06759"/>
    <w:rsid w:val="00F101F4"/>
    <w:rsid w:val="00F10638"/>
    <w:rsid w:val="00F12225"/>
    <w:rsid w:val="00F1252B"/>
    <w:rsid w:val="00F14C78"/>
    <w:rsid w:val="00F14F5E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87AE1"/>
    <w:rsid w:val="00F91F63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12</Pages>
  <Words>4792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118</cp:revision>
  <cp:lastPrinted>2022-11-10T14:57:00Z</cp:lastPrinted>
  <dcterms:created xsi:type="dcterms:W3CDTF">2023-06-26T13:14:00Z</dcterms:created>
  <dcterms:modified xsi:type="dcterms:W3CDTF">2025-04-03T08:06:00Z</dcterms:modified>
</cp:coreProperties>
</file>