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E2040" w14:textId="509CAB8F" w:rsidR="00B03560" w:rsidRPr="00B03560" w:rsidRDefault="00B03560" w:rsidP="00B03560">
      <w:pPr>
        <w:spacing w:after="240"/>
        <w:jc w:val="center"/>
        <w:rPr>
          <w:b/>
          <w:bCs/>
          <w:sz w:val="28"/>
          <w:szCs w:val="28"/>
        </w:rPr>
      </w:pPr>
      <w:r w:rsidRPr="00B03560">
        <w:rPr>
          <w:b/>
          <w:bCs/>
          <w:sz w:val="28"/>
          <w:szCs w:val="28"/>
        </w:rPr>
        <w:t>POŽADAVKY NA ZPRACOVÁNÍ TECHNICKÝCH PODMÍNEK A SOUPISU STAVEBNÍCH PRACÍ, DODÁVEK A SLUŽEB S</w:t>
      </w:r>
      <w:r w:rsidR="007D4316">
        <w:rPr>
          <w:b/>
          <w:bCs/>
          <w:sz w:val="28"/>
          <w:szCs w:val="28"/>
        </w:rPr>
        <w:t> </w:t>
      </w:r>
      <w:r w:rsidRPr="00B03560">
        <w:rPr>
          <w:b/>
          <w:bCs/>
          <w:sz w:val="28"/>
          <w:szCs w:val="28"/>
        </w:rPr>
        <w:t>VÝKAZEM VÝMĚR</w:t>
      </w:r>
    </w:p>
    <w:p w14:paraId="730F0A3D" w14:textId="55B3C240"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t>Požadavky na zpracování technických podmínek (uplatní se obecně pro stavební práce, dodávky i služby) ve smyslu podle § 89 a násl. zákona č. 134/2016 Sb., o zadávání veřejných zakázkách, ve znění pozdějších předpisů (dále také „ZZVZ“):</w:t>
      </w:r>
    </w:p>
    <w:p w14:paraId="62361465" w14:textId="1A5DB782" w:rsidR="00B03560" w:rsidRDefault="00B03560" w:rsidP="00B03560">
      <w:pPr>
        <w:pStyle w:val="Odstavecseseznamem"/>
        <w:numPr>
          <w:ilvl w:val="0"/>
          <w:numId w:val="3"/>
        </w:numPr>
        <w:spacing w:after="120"/>
        <w:contextualSpacing w:val="0"/>
        <w:jc w:val="both"/>
      </w:pPr>
      <w:r>
        <w:t xml:space="preserve">Technické podmínky musí být stanoveny zcela </w:t>
      </w:r>
      <w:r w:rsidRPr="00177946">
        <w:rPr>
          <w:b/>
          <w:bCs/>
        </w:rPr>
        <w:t>přesně, jednoznačně a pochopitelně, tak aby neumožňovaly dvojí výklad.</w:t>
      </w:r>
    </w:p>
    <w:p w14:paraId="2D5A4032" w14:textId="2578C47D" w:rsidR="00B03560" w:rsidRDefault="00B03560" w:rsidP="00B03560">
      <w:pPr>
        <w:pStyle w:val="Odstavecseseznamem"/>
        <w:numPr>
          <w:ilvl w:val="0"/>
          <w:numId w:val="3"/>
        </w:numPr>
        <w:spacing w:after="120"/>
        <w:contextualSpacing w:val="0"/>
        <w:jc w:val="both"/>
      </w:pPr>
      <w:r>
        <w:t xml:space="preserve">Technické podmínky vymezují </w:t>
      </w:r>
      <w:r w:rsidRPr="00177946">
        <w:rPr>
          <w:b/>
          <w:bCs/>
        </w:rPr>
        <w:t>jen ty charakteristiky plnění, které jsou pro zadavatele podstatné</w:t>
      </w:r>
      <w:r>
        <w:t>.</w:t>
      </w:r>
    </w:p>
    <w:p w14:paraId="5680320E" w14:textId="1B22681F" w:rsidR="000E7AB7" w:rsidRDefault="000E7AB7" w:rsidP="00B03560">
      <w:pPr>
        <w:pStyle w:val="Odstavecseseznamem"/>
        <w:numPr>
          <w:ilvl w:val="0"/>
          <w:numId w:val="3"/>
        </w:numPr>
        <w:spacing w:after="120"/>
        <w:contextualSpacing w:val="0"/>
        <w:jc w:val="both"/>
      </w:pPr>
      <w:r w:rsidRPr="00B13858">
        <w:rPr>
          <w:rFonts w:ascii="Calibri" w:hAnsi="Calibri" w:cs="Calibri"/>
        </w:rPr>
        <w:t xml:space="preserve">Technické podmínky mj. </w:t>
      </w:r>
      <w:r w:rsidRPr="00B13858">
        <w:rPr>
          <w:rFonts w:ascii="Calibri" w:hAnsi="Calibri" w:cs="Calibri"/>
          <w:b/>
        </w:rPr>
        <w:t>vymezují požadavky zadavatele na výkon nebo funkci plnění</w:t>
      </w:r>
      <w:r w:rsidRPr="00B13858">
        <w:rPr>
          <w:rFonts w:ascii="Calibri" w:hAnsi="Calibri" w:cs="Calibri"/>
        </w:rPr>
        <w:t>; zadavatel jimi stanovuje, jakého výkonu či funkce má plnění dosahovat, nikoli způsob, jakým má být výkonu či funkce dosaženo</w:t>
      </w:r>
      <w:r>
        <w:rPr>
          <w:rFonts w:ascii="Calibri" w:hAnsi="Calibri" w:cs="Calibri"/>
        </w:rPr>
        <w:t>.</w:t>
      </w:r>
    </w:p>
    <w:p w14:paraId="29747C03" w14:textId="7AAF9FD7" w:rsidR="00B03560" w:rsidRDefault="00B03560" w:rsidP="00B03560">
      <w:pPr>
        <w:pStyle w:val="Odstavecseseznamem"/>
        <w:numPr>
          <w:ilvl w:val="0"/>
          <w:numId w:val="3"/>
        </w:numPr>
        <w:spacing w:after="120"/>
        <w:contextualSpacing w:val="0"/>
        <w:jc w:val="both"/>
      </w:pPr>
      <w:r>
        <w:t xml:space="preserve">Hodnoty jednotlivých technických podmínek se zpravidla stanovují jako </w:t>
      </w:r>
      <w:r w:rsidRPr="00177946">
        <w:rPr>
          <w:b/>
          <w:bCs/>
        </w:rPr>
        <w:t>minimální, maximální, příp. rozsahem</w:t>
      </w:r>
      <w:r>
        <w:t>. Jen tam, kde zadavatel z objektivního důvodu vyžaduje naplnění přesné hodnoty, může tuto uvést (např. rozměry vestavného nábytku vymezené tak, aby jej bylo možné umístit na</w:t>
      </w:r>
      <w:r w:rsidR="00177946">
        <w:t> </w:t>
      </w:r>
      <w:r>
        <w:t>příslušné místo).</w:t>
      </w:r>
    </w:p>
    <w:p w14:paraId="1F09F431" w14:textId="32F931B7" w:rsidR="00B03560" w:rsidRDefault="00B03560" w:rsidP="00B03560">
      <w:pPr>
        <w:pStyle w:val="Odstavecseseznamem"/>
        <w:numPr>
          <w:ilvl w:val="0"/>
          <w:numId w:val="3"/>
        </w:numPr>
        <w:spacing w:after="120"/>
        <w:contextualSpacing w:val="0"/>
        <w:jc w:val="both"/>
      </w:pPr>
      <w:r>
        <w:t xml:space="preserve">Technické podmínky </w:t>
      </w:r>
      <w:r w:rsidRPr="00177946">
        <w:rPr>
          <w:b/>
          <w:bCs/>
        </w:rPr>
        <w:t>nesmí být</w:t>
      </w:r>
      <w:r>
        <w:t xml:space="preserve"> stanoveny tak, aby byly </w:t>
      </w:r>
      <w:r w:rsidRPr="00177946">
        <w:rPr>
          <w:b/>
          <w:bCs/>
        </w:rPr>
        <w:t>„šity na míru“</w:t>
      </w:r>
      <w:r>
        <w:t xml:space="preserve"> jednomu z</w:t>
      </w:r>
      <w:r w:rsidR="00031A3B">
        <w:t> </w:t>
      </w:r>
      <w:r>
        <w:t>potenciálních účastníků, resp. nesmí jimi být specifikováno jediné možné plnění. Zpravidla by měl existovat okruh alespoň tří účastníků, kteří se o veřejnou zakázku mohou přímo ucházet. Za předpokladu, že na relevantním trhu existuje pouze jeden dodavatel, jehož nabídka vyhovuje objektivně odůvodnitelným potřebám zadavatele, lze použít při naplnění podmínek ZZVZ nestandardní druhy zadávacího řízení a oslovit pouze tohoto dodavatele.</w:t>
      </w:r>
    </w:p>
    <w:p w14:paraId="7C4A9B3F" w14:textId="5A44D67A" w:rsidR="00B03560" w:rsidRDefault="00B03560" w:rsidP="00B03560">
      <w:pPr>
        <w:pStyle w:val="Odstavecseseznamem"/>
        <w:numPr>
          <w:ilvl w:val="0"/>
          <w:numId w:val="3"/>
        </w:numPr>
        <w:spacing w:after="120"/>
        <w:contextualSpacing w:val="0"/>
        <w:jc w:val="both"/>
      </w:pPr>
      <w:r>
        <w:t>Technické podmínky v</w:t>
      </w:r>
      <w:r w:rsidR="00114F03">
        <w:t> </w:t>
      </w:r>
      <w:r>
        <w:t xml:space="preserve">zásadě </w:t>
      </w:r>
      <w:r w:rsidRPr="007611D5">
        <w:rPr>
          <w:b/>
          <w:bCs/>
        </w:rPr>
        <w:t>nelze vymezovat obchodními názvy či jinými odkazy na konkrétní dodávky, služby, stavební práce či dodavatele</w:t>
      </w:r>
      <w:r>
        <w:t>; takový odkaz lze připustit jen výjimečně, a to pokud je to odůvodněno předmětem veřejné zakázky (např. z</w:t>
      </w:r>
      <w:r w:rsidR="00114F03">
        <w:t> </w:t>
      </w:r>
      <w:r>
        <w:t xml:space="preserve">důvodu nutné kompatibility mezi stávajícím a nově pořizovaným vybavením zadavatele), příp. pokud předmět veřejné zakázky objektivně nelze dostatečně přesně a srozumitelně popsat jinak (jednotlivě u každého takového odkazu, tj. nikoliv jen paušálně například v úvodním textu, je nutné uvést možnost nabídnout rovnocenné řešení). Uvedené </w:t>
      </w:r>
      <w:r w:rsidRPr="007611D5">
        <w:rPr>
          <w:b/>
          <w:bCs/>
        </w:rPr>
        <w:t>platí i pro jiné než slovní vyjádření</w:t>
      </w:r>
      <w:r>
        <w:t xml:space="preserve">, např. fotografie či nákresy. Případné obchodní názvy a jiné konkrétní odkazy je, s výjimkou výše uvedenou, nutné z technických podmínek odstranit, resp. </w:t>
      </w:r>
      <w:r w:rsidRPr="007611D5">
        <w:rPr>
          <w:b/>
          <w:bCs/>
        </w:rPr>
        <w:t>nahradit vlastní technickou specifikací</w:t>
      </w:r>
      <w:r>
        <w:t xml:space="preserve"> způsobem požadovaným ZZVZ, tj. např. druhem materiálu, rozměrem, pevnostními, fyzikálními veličinami, barvou atd.</w:t>
      </w:r>
    </w:p>
    <w:p w14:paraId="24388C02" w14:textId="4C7C98B6" w:rsidR="00B03560" w:rsidRDefault="00B03560" w:rsidP="00B03560">
      <w:pPr>
        <w:pStyle w:val="Odstavecseseznamem"/>
        <w:numPr>
          <w:ilvl w:val="0"/>
          <w:numId w:val="3"/>
        </w:numPr>
        <w:spacing w:after="120"/>
        <w:contextualSpacing w:val="0"/>
        <w:jc w:val="both"/>
      </w:pPr>
      <w:r>
        <w:t xml:space="preserve">Technické podmínky </w:t>
      </w:r>
      <w:r w:rsidRPr="007611D5">
        <w:rPr>
          <w:b/>
          <w:bCs/>
        </w:rPr>
        <w:t>se v</w:t>
      </w:r>
      <w:r w:rsidR="00114F03">
        <w:rPr>
          <w:b/>
          <w:bCs/>
        </w:rPr>
        <w:t> </w:t>
      </w:r>
      <w:r w:rsidRPr="007611D5">
        <w:rPr>
          <w:b/>
          <w:bCs/>
        </w:rPr>
        <w:t>zásadě nevymezují tak, aby tím byla bezdůvodně omezena kvalita</w:t>
      </w:r>
      <w:r>
        <w:t xml:space="preserve"> (technická úroveň) </w:t>
      </w:r>
      <w:r w:rsidRPr="007611D5">
        <w:rPr>
          <w:b/>
          <w:bCs/>
        </w:rPr>
        <w:t>plnění</w:t>
      </w:r>
      <w:r>
        <w:t xml:space="preserve">, např. stanovení </w:t>
      </w:r>
      <w:r w:rsidRPr="005F4073">
        <w:t>nosnosti židle „120 kg“ (bez dalšího) nebo „do 120 kg“</w:t>
      </w:r>
      <w:r>
        <w:t xml:space="preserve"> je chybné, správně má být „min. 120 kg“. Nastavením technických podmínek </w:t>
      </w:r>
      <w:r w:rsidRPr="00130A44">
        <w:rPr>
          <w:b/>
          <w:bCs/>
        </w:rPr>
        <w:t xml:space="preserve">nesmí </w:t>
      </w:r>
      <w:r>
        <w:t xml:space="preserve">zadavatel bezdůvodně </w:t>
      </w:r>
      <w:r w:rsidRPr="00130A44">
        <w:rPr>
          <w:b/>
          <w:bCs/>
        </w:rPr>
        <w:t>vyloučit plnění, které je v</w:t>
      </w:r>
      <w:r w:rsidR="00186972">
        <w:rPr>
          <w:b/>
          <w:bCs/>
        </w:rPr>
        <w:t> </w:t>
      </w:r>
      <w:r w:rsidRPr="00130A44">
        <w:rPr>
          <w:b/>
          <w:bCs/>
        </w:rPr>
        <w:t>dané technické podmínce kvalitnější</w:t>
      </w:r>
      <w:r>
        <w:t xml:space="preserve"> než jím požadované.</w:t>
      </w:r>
    </w:p>
    <w:p w14:paraId="5652430D" w14:textId="42526359" w:rsidR="00B03560" w:rsidRDefault="00B03560" w:rsidP="00B03560">
      <w:pPr>
        <w:pStyle w:val="Odstavecseseznamem"/>
        <w:numPr>
          <w:ilvl w:val="0"/>
          <w:numId w:val="3"/>
        </w:numPr>
        <w:spacing w:after="120"/>
        <w:contextualSpacing w:val="0"/>
        <w:jc w:val="both"/>
      </w:pPr>
      <w:r>
        <w:t>Technické podmínky uvozené „cca“, „dostatečně“, „ideálně“, apod., příp. vymezeny za pomocí výrazů jako třeba „kvalitně“, „snadně“, „jednoduše“, „dostatečně“, apod. jsou kvůli nekonkrétnosti těžko vymahatelné a z</w:t>
      </w:r>
      <w:r w:rsidR="00BF32A6">
        <w:t> </w:t>
      </w:r>
      <w:r>
        <w:t>tohoto důvodů chybné.</w:t>
      </w:r>
    </w:p>
    <w:p w14:paraId="6C227EE7" w14:textId="2BA0D800" w:rsidR="00B03560" w:rsidRDefault="00B03560" w:rsidP="00B03560">
      <w:pPr>
        <w:pStyle w:val="Odstavecseseznamem"/>
        <w:numPr>
          <w:ilvl w:val="0"/>
          <w:numId w:val="3"/>
        </w:numPr>
        <w:spacing w:after="120"/>
        <w:contextualSpacing w:val="0"/>
        <w:jc w:val="both"/>
      </w:pPr>
      <w:r w:rsidRPr="00130A44">
        <w:rPr>
          <w:b/>
          <w:bCs/>
        </w:rPr>
        <w:t>V</w:t>
      </w:r>
      <w:r w:rsidR="00BF32A6">
        <w:rPr>
          <w:b/>
          <w:bCs/>
        </w:rPr>
        <w:t> </w:t>
      </w:r>
      <w:r w:rsidRPr="00130A44">
        <w:rPr>
          <w:b/>
          <w:bCs/>
        </w:rPr>
        <w:t>technických podmínkách se zásadně nerozpracovávají obchodní ani jiné zadávací podmínky</w:t>
      </w:r>
      <w:r>
        <w:t>; tyto jsou přesně a vyčerpávajícím způsobem upraveny výhradně v dokumentech k tomu určených, zejm. v zadávací dokumentaci či návrhu smlouvy.</w:t>
      </w:r>
    </w:p>
    <w:p w14:paraId="41BC7010" w14:textId="6C2FFDF8"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lastRenderedPageBreak/>
        <w:t xml:space="preserve">Požadavky na zpracování </w:t>
      </w:r>
      <w:r w:rsidR="0079559A">
        <w:rPr>
          <w:b/>
          <w:bCs/>
          <w:sz w:val="24"/>
          <w:szCs w:val="24"/>
        </w:rPr>
        <w:t>s</w:t>
      </w:r>
      <w:r w:rsidRPr="00B03560">
        <w:rPr>
          <w:b/>
          <w:bCs/>
          <w:sz w:val="24"/>
          <w:szCs w:val="24"/>
        </w:rPr>
        <w:t>oupisu stavebních prací, dodávek a služeb s</w:t>
      </w:r>
      <w:r w:rsidR="0079559A">
        <w:rPr>
          <w:b/>
          <w:bCs/>
          <w:sz w:val="24"/>
          <w:szCs w:val="24"/>
        </w:rPr>
        <w:t> </w:t>
      </w:r>
      <w:r w:rsidRPr="00B03560">
        <w:rPr>
          <w:b/>
          <w:bCs/>
          <w:sz w:val="24"/>
          <w:szCs w:val="24"/>
        </w:rPr>
        <w:t>výkazem výměr</w:t>
      </w:r>
    </w:p>
    <w:p w14:paraId="4B20F3FE" w14:textId="77777777" w:rsidR="00492DF3" w:rsidRDefault="00B03560" w:rsidP="00B03560">
      <w:pPr>
        <w:pStyle w:val="Odstavecseseznamem"/>
        <w:numPr>
          <w:ilvl w:val="0"/>
          <w:numId w:val="4"/>
        </w:numPr>
        <w:spacing w:after="120"/>
        <w:ind w:left="357" w:hanging="357"/>
        <w:contextualSpacing w:val="0"/>
        <w:jc w:val="both"/>
      </w:pPr>
      <w:r>
        <w:t>Relevantní právní předpisy:</w:t>
      </w:r>
    </w:p>
    <w:p w14:paraId="37007F3B" w14:textId="77777777" w:rsidR="00492DF3" w:rsidRDefault="00B03560" w:rsidP="00492DF3">
      <w:pPr>
        <w:pStyle w:val="Odstavecseseznamem"/>
        <w:numPr>
          <w:ilvl w:val="0"/>
          <w:numId w:val="6"/>
        </w:numPr>
        <w:spacing w:after="0"/>
        <w:ind w:left="714" w:hanging="357"/>
        <w:contextualSpacing w:val="0"/>
        <w:jc w:val="both"/>
      </w:pPr>
      <w:r>
        <w:t>zákon č. 134/2016 Sb., o zadávání veřejných zakázkách, ve znění pozdějších předpisů,</w:t>
      </w:r>
    </w:p>
    <w:p w14:paraId="2F87991B" w14:textId="6D936900" w:rsidR="00492DF3" w:rsidRDefault="001A1DD3" w:rsidP="00492DF3">
      <w:pPr>
        <w:pStyle w:val="Odstavecseseznamem"/>
        <w:numPr>
          <w:ilvl w:val="0"/>
          <w:numId w:val="6"/>
        </w:numPr>
        <w:spacing w:after="0"/>
        <w:ind w:left="714" w:hanging="357"/>
        <w:contextualSpacing w:val="0"/>
        <w:jc w:val="both"/>
      </w:pPr>
      <w:r w:rsidRPr="001A1DD3">
        <w:t>zákon č. 283/2021 Sb., stavební zákon, ve znění pozdějších předpisů</w:t>
      </w:r>
      <w:r w:rsidR="00B03560" w:rsidRPr="006701D4">
        <w:t>,</w:t>
      </w:r>
    </w:p>
    <w:p w14:paraId="5A89CC98" w14:textId="2372C381" w:rsidR="00B11E6E" w:rsidRPr="009A72BE" w:rsidRDefault="00B11E6E" w:rsidP="00492DF3">
      <w:pPr>
        <w:pStyle w:val="Odstavecseseznamem"/>
        <w:numPr>
          <w:ilvl w:val="0"/>
          <w:numId w:val="6"/>
        </w:numPr>
        <w:spacing w:after="0"/>
        <w:ind w:left="714" w:hanging="357"/>
        <w:contextualSpacing w:val="0"/>
        <w:jc w:val="both"/>
      </w:pPr>
      <w:r w:rsidRPr="0043173D">
        <w:rPr>
          <w:rFonts w:ascii="Calibri" w:hAnsi="Calibri" w:cs="Calibri"/>
        </w:rPr>
        <w:t>vyhlášk</w:t>
      </w:r>
      <w:r>
        <w:rPr>
          <w:rFonts w:ascii="Calibri" w:hAnsi="Calibri" w:cs="Calibri"/>
        </w:rPr>
        <w:t>a</w:t>
      </w:r>
      <w:r w:rsidRPr="0043173D">
        <w:rPr>
          <w:rFonts w:ascii="Calibri" w:hAnsi="Calibri" w:cs="Calibri"/>
        </w:rPr>
        <w:t xml:space="preserve"> č. 131/2024 Sb., o dokumentaci staveb</w:t>
      </w:r>
      <w:r w:rsidR="009A72BE">
        <w:rPr>
          <w:rFonts w:ascii="Calibri" w:hAnsi="Calibri" w:cs="Calibri"/>
        </w:rPr>
        <w:t>,</w:t>
      </w:r>
    </w:p>
    <w:p w14:paraId="45E47CE9" w14:textId="313AA37E" w:rsidR="009A72BE" w:rsidRPr="005801A8" w:rsidRDefault="005801A8" w:rsidP="00492DF3">
      <w:pPr>
        <w:pStyle w:val="Odstavecseseznamem"/>
        <w:numPr>
          <w:ilvl w:val="0"/>
          <w:numId w:val="6"/>
        </w:numPr>
        <w:spacing w:after="0"/>
        <w:ind w:left="714" w:hanging="357"/>
        <w:contextualSpacing w:val="0"/>
        <w:jc w:val="both"/>
      </w:pPr>
      <w:r w:rsidRPr="0043173D">
        <w:rPr>
          <w:rFonts w:ascii="Calibri" w:hAnsi="Calibri" w:cs="Calibri"/>
        </w:rPr>
        <w:t>vyhlášk</w:t>
      </w:r>
      <w:r>
        <w:rPr>
          <w:rFonts w:ascii="Calibri" w:hAnsi="Calibri" w:cs="Calibri"/>
        </w:rPr>
        <w:t>a</w:t>
      </w:r>
      <w:r w:rsidRPr="0043173D">
        <w:rPr>
          <w:rFonts w:ascii="Calibri" w:hAnsi="Calibri" w:cs="Calibri"/>
        </w:rPr>
        <w:t xml:space="preserve"> č. 146/2024 Sb., o požadavcích na výstavbu</w:t>
      </w:r>
      <w:r>
        <w:rPr>
          <w:rFonts w:ascii="Calibri" w:hAnsi="Calibri" w:cs="Calibri"/>
        </w:rPr>
        <w:t>,</w:t>
      </w:r>
    </w:p>
    <w:p w14:paraId="22D1C7D6" w14:textId="2AB19066" w:rsidR="00B03560" w:rsidRDefault="00B03560" w:rsidP="00492DF3">
      <w:pPr>
        <w:pStyle w:val="Odstavecseseznamem"/>
        <w:numPr>
          <w:ilvl w:val="0"/>
          <w:numId w:val="6"/>
        </w:numPr>
        <w:spacing w:after="120"/>
        <w:contextualSpacing w:val="0"/>
        <w:jc w:val="both"/>
      </w:pPr>
      <w:r>
        <w:t xml:space="preserve">vyhláška Ministerstva pro místní rozvoj č. 169/2016 Sb., </w:t>
      </w:r>
      <w:r w:rsidR="00C954A3" w:rsidRPr="00C954A3">
        <w:t>o stanovení rozsahu dokumentace veřejné zakázky na stavební práce a soupisu stavebních prací, dodávek a služeb s výkazem výměr</w:t>
      </w:r>
      <w:r>
        <w:t>, ve znění pozdějších předpisů (dále jen „vyhláška č. 169/2016</w:t>
      </w:r>
      <w:r w:rsidR="00994498">
        <w:t xml:space="preserve"> Sb.</w:t>
      </w:r>
      <w:r>
        <w:t>“).</w:t>
      </w:r>
    </w:p>
    <w:p w14:paraId="2DA5DD8E" w14:textId="7934A040" w:rsidR="00B03560" w:rsidRPr="00771D03" w:rsidRDefault="00B03560" w:rsidP="00B03560">
      <w:pPr>
        <w:pStyle w:val="Odstavecseseznamem"/>
        <w:numPr>
          <w:ilvl w:val="0"/>
          <w:numId w:val="4"/>
        </w:numPr>
        <w:spacing w:after="120"/>
        <w:ind w:left="357" w:hanging="357"/>
        <w:contextualSpacing w:val="0"/>
        <w:jc w:val="both"/>
      </w:pPr>
      <w:r>
        <w:t xml:space="preserve">Pro všechny veřejné zakázky zadávané v režimu ZZVZ je příslušnou dokumentací </w:t>
      </w:r>
      <w:r w:rsidRPr="00492DF3">
        <w:rPr>
          <w:b/>
          <w:bCs/>
        </w:rPr>
        <w:t>projektová dokumentace pro provádění stavby</w:t>
      </w:r>
      <w:r>
        <w:t xml:space="preserve"> </w:t>
      </w:r>
      <w:r w:rsidR="009D12EE" w:rsidRPr="00B13858">
        <w:rPr>
          <w:rFonts w:ascii="Calibri" w:hAnsi="Calibri" w:cs="Calibri"/>
        </w:rPr>
        <w:t>(dále také jen „</w:t>
      </w:r>
      <w:r w:rsidR="009D12EE">
        <w:rPr>
          <w:rFonts w:ascii="Calibri" w:hAnsi="Calibri" w:cs="Calibri"/>
        </w:rPr>
        <w:t>P</w:t>
      </w:r>
      <w:r w:rsidR="009D12EE" w:rsidRPr="00B13858">
        <w:rPr>
          <w:rFonts w:ascii="Calibri" w:hAnsi="Calibri" w:cs="Calibri"/>
        </w:rPr>
        <w:t xml:space="preserve">DPS“) ve smyslu ustanovení §2 odst. 1-2 vyhlášky 169/2016, v minimálním rozsahu dle vyhlášky č. </w:t>
      </w:r>
      <w:r w:rsidR="009D12EE">
        <w:rPr>
          <w:rFonts w:ascii="Calibri" w:hAnsi="Calibri" w:cs="Calibri"/>
        </w:rPr>
        <w:t>131</w:t>
      </w:r>
      <w:r w:rsidR="009D12EE" w:rsidRPr="00B13858">
        <w:rPr>
          <w:rFonts w:ascii="Calibri" w:hAnsi="Calibri" w:cs="Calibri"/>
        </w:rPr>
        <w:t>/2024 Sb.</w:t>
      </w:r>
    </w:p>
    <w:p w14:paraId="5C56DA58" w14:textId="26148EAD" w:rsidR="00771D03" w:rsidRPr="005175AA" w:rsidRDefault="00771D03" w:rsidP="00771D03">
      <w:pPr>
        <w:pStyle w:val="Odstavecseseznamem"/>
        <w:spacing w:after="120"/>
        <w:ind w:left="357"/>
        <w:contextualSpacing w:val="0"/>
        <w:jc w:val="both"/>
      </w:pPr>
      <w:r w:rsidRPr="00B13858">
        <w:rPr>
          <w:rFonts w:ascii="Calibri" w:hAnsi="Calibri" w:cs="Calibri"/>
        </w:rPr>
        <w:t xml:space="preserve">Ustanovení předchozí věty se neuplatní v případě, že je dokumentace ve smyslu ustanovení § 92 odst. 2 ZZVZ nahrazena technickými podmínkami vyjádřenými formou požadavků na </w:t>
      </w:r>
      <w:r w:rsidRPr="00B13858">
        <w:rPr>
          <w:rFonts w:ascii="Calibri" w:hAnsi="Calibri" w:cs="Calibri"/>
          <w:b/>
        </w:rPr>
        <w:t>výkon nebo funkci</w:t>
      </w:r>
      <w:r w:rsidRPr="00B13858">
        <w:rPr>
          <w:rFonts w:ascii="Calibri" w:hAnsi="Calibri" w:cs="Calibri"/>
        </w:rPr>
        <w:t xml:space="preserve"> podle § 89 odst. 1 ZZVZ</w:t>
      </w:r>
      <w:r w:rsidR="00583D2D">
        <w:rPr>
          <w:rFonts w:ascii="Calibri" w:hAnsi="Calibri" w:cs="Calibri"/>
        </w:rPr>
        <w:t>.</w:t>
      </w:r>
    </w:p>
    <w:p w14:paraId="490356AC" w14:textId="3D8C89AB" w:rsidR="00B03560" w:rsidRDefault="007C54DC" w:rsidP="00B03560">
      <w:pPr>
        <w:pStyle w:val="Odstavecseseznamem"/>
        <w:numPr>
          <w:ilvl w:val="0"/>
          <w:numId w:val="4"/>
        </w:numPr>
        <w:spacing w:after="120"/>
        <w:ind w:left="357" w:hanging="357"/>
        <w:contextualSpacing w:val="0"/>
        <w:jc w:val="both"/>
      </w:pPr>
      <w:r w:rsidRPr="00B13858">
        <w:rPr>
          <w:rFonts w:ascii="Calibri" w:hAnsi="Calibri" w:cs="Calibri"/>
          <w:b/>
        </w:rPr>
        <w:t xml:space="preserve">Soupis prací musí věcně odpovídat </w:t>
      </w:r>
      <w:r>
        <w:rPr>
          <w:rFonts w:ascii="Calibri" w:hAnsi="Calibri" w:cs="Calibri"/>
          <w:b/>
        </w:rPr>
        <w:t>P</w:t>
      </w:r>
      <w:r w:rsidRPr="00B13858">
        <w:rPr>
          <w:rFonts w:ascii="Calibri" w:hAnsi="Calibri" w:cs="Calibri"/>
          <w:b/>
        </w:rPr>
        <w:t>DPS.</w:t>
      </w:r>
      <w:r w:rsidRPr="00B13858">
        <w:rPr>
          <w:rFonts w:ascii="Calibri" w:hAnsi="Calibri" w:cs="Calibri"/>
        </w:rPr>
        <w:t xml:space="preserve"> Soupis prací i </w:t>
      </w:r>
      <w:r>
        <w:rPr>
          <w:rFonts w:ascii="Calibri" w:hAnsi="Calibri" w:cs="Calibri"/>
        </w:rPr>
        <w:t>P</w:t>
      </w:r>
      <w:r w:rsidRPr="00B13858">
        <w:rPr>
          <w:rFonts w:ascii="Calibri" w:hAnsi="Calibri" w:cs="Calibri"/>
        </w:rPr>
        <w:t>DPS bude prosta obchodních názvů či jiných odkazů na konkrétní dodávky, služby, stavební práce či dodavatele. V podrobnostech viz část A, odst. 6 tohoto dokumentu</w:t>
      </w:r>
      <w:r w:rsidR="00B03560">
        <w:t>.</w:t>
      </w:r>
    </w:p>
    <w:p w14:paraId="0BEC27B7" w14:textId="2C389DDC" w:rsidR="00B03560" w:rsidRDefault="00864DD9" w:rsidP="00B03560">
      <w:pPr>
        <w:pStyle w:val="Odstavecseseznamem"/>
        <w:numPr>
          <w:ilvl w:val="0"/>
          <w:numId w:val="4"/>
        </w:numPr>
        <w:spacing w:after="120"/>
        <w:ind w:left="357" w:hanging="357"/>
        <w:contextualSpacing w:val="0"/>
        <w:jc w:val="both"/>
      </w:pPr>
      <w:r w:rsidRPr="00B13858">
        <w:rPr>
          <w:rFonts w:ascii="Calibri" w:hAnsi="Calibri" w:cs="Calibri"/>
        </w:rPr>
        <w:t xml:space="preserve">Soupis prací musí být zpracován v členění </w:t>
      </w:r>
      <w:r w:rsidRPr="00B13858">
        <w:rPr>
          <w:rFonts w:ascii="Calibri" w:hAnsi="Calibri" w:cs="Calibri"/>
          <w:b/>
        </w:rPr>
        <w:t xml:space="preserve">na stavební objekty, inženýrské objekty a provozní soubory v souladu s příslušnou </w:t>
      </w:r>
      <w:r>
        <w:rPr>
          <w:rFonts w:ascii="Calibri" w:hAnsi="Calibri" w:cs="Calibri"/>
          <w:b/>
        </w:rPr>
        <w:t>P</w:t>
      </w:r>
      <w:r w:rsidRPr="00B13858">
        <w:rPr>
          <w:rFonts w:ascii="Calibri" w:hAnsi="Calibri" w:cs="Calibri"/>
          <w:b/>
        </w:rPr>
        <w:t>DPS</w:t>
      </w:r>
      <w:r w:rsidR="00B03560">
        <w:t>.</w:t>
      </w:r>
    </w:p>
    <w:p w14:paraId="2E1ACAB4" w14:textId="1FB1F369" w:rsidR="00B03560" w:rsidRDefault="007E30CA" w:rsidP="00B03560">
      <w:pPr>
        <w:pStyle w:val="Odstavecseseznamem"/>
        <w:numPr>
          <w:ilvl w:val="0"/>
          <w:numId w:val="4"/>
        </w:numPr>
        <w:spacing w:after="120"/>
        <w:ind w:left="357" w:hanging="357"/>
        <w:contextualSpacing w:val="0"/>
        <w:jc w:val="both"/>
      </w:pPr>
      <w:r w:rsidRPr="00B13858">
        <w:rPr>
          <w:rFonts w:ascii="Calibri" w:hAnsi="Calibri" w:cs="Calibri"/>
        </w:rPr>
        <w:t xml:space="preserve">Pokud Soupis prací obsahuje odkaz na cenovou soustavu dle §11 vyhlášky </w:t>
      </w:r>
      <w:r w:rsidRPr="00B13858">
        <w:rPr>
          <w:rFonts w:ascii="Calibri" w:hAnsi="Calibri" w:cs="Calibri"/>
        </w:rPr>
        <w:br/>
        <w:t>č. 169/2016, musí být rovněž součástí Soupisu prací odkaz na použitou cenovou soustavu spolu s</w:t>
      </w:r>
      <w:r>
        <w:rPr>
          <w:rFonts w:ascii="Calibri" w:hAnsi="Calibri" w:cs="Calibri"/>
        </w:rPr>
        <w:t> </w:t>
      </w:r>
      <w:r w:rsidRPr="00B13858">
        <w:rPr>
          <w:rFonts w:ascii="Calibri" w:hAnsi="Calibri" w:cs="Calibri"/>
        </w:rPr>
        <w:t>odkazem na neomezený dálkový přístup nebo jejím zahrnutím do přílohy technických podmínek</w:t>
      </w:r>
      <w:r w:rsidR="00B03560">
        <w:t>.</w:t>
      </w:r>
    </w:p>
    <w:p w14:paraId="03ECAE2D" w14:textId="0279C78F" w:rsidR="00B03560" w:rsidRDefault="00B03560" w:rsidP="00B03560">
      <w:pPr>
        <w:pStyle w:val="Odstavecseseznamem"/>
        <w:numPr>
          <w:ilvl w:val="0"/>
          <w:numId w:val="4"/>
        </w:numPr>
        <w:spacing w:after="120"/>
        <w:ind w:left="357" w:hanging="357"/>
        <w:contextualSpacing w:val="0"/>
        <w:jc w:val="both"/>
      </w:pPr>
      <w:r>
        <w:t xml:space="preserve">Soupis prací ke každému stavebnímu objektu, inženýrskému objektu a provoznímu souboru musí obsahovat: </w:t>
      </w:r>
      <w:r w:rsidRPr="00492DF3">
        <w:rPr>
          <w:b/>
          <w:bCs/>
        </w:rPr>
        <w:t>krycí list, rekapitulaci Soupisu prací a samotný Soupis prací s výkazem výměr</w:t>
      </w:r>
      <w:r>
        <w:t xml:space="preserve"> (členění a obsah musí být ve vzájemném souladu).</w:t>
      </w:r>
    </w:p>
    <w:p w14:paraId="14CF5C30" w14:textId="77777777" w:rsidR="00A23E82" w:rsidRDefault="00782AD4" w:rsidP="00B03560">
      <w:pPr>
        <w:pStyle w:val="Odstavecseseznamem"/>
        <w:numPr>
          <w:ilvl w:val="0"/>
          <w:numId w:val="4"/>
        </w:numPr>
        <w:spacing w:after="120"/>
        <w:ind w:left="357" w:hanging="357"/>
        <w:contextualSpacing w:val="0"/>
        <w:jc w:val="both"/>
      </w:pPr>
      <w:r w:rsidRPr="00B13858">
        <w:rPr>
          <w:rFonts w:ascii="Calibri" w:hAnsi="Calibri" w:cs="Calibri"/>
        </w:rPr>
        <w:t xml:space="preserve">Výstupem oceňovacího programu bude Soupis prací tvořený </w:t>
      </w:r>
      <w:r w:rsidRPr="00B13858">
        <w:rPr>
          <w:rFonts w:ascii="Calibri" w:hAnsi="Calibri" w:cs="Calibri"/>
          <w:b/>
        </w:rPr>
        <w:t xml:space="preserve">jedním souborem ve formátu EXCEL, </w:t>
      </w:r>
      <w:r w:rsidRPr="00B13858">
        <w:rPr>
          <w:rFonts w:ascii="Calibri" w:hAnsi="Calibri" w:cs="Calibri"/>
        </w:rPr>
        <w:t>který bude vnitřně členěn na jednotlivé listy v členění dle odst. 3 až 6</w:t>
      </w:r>
      <w:r w:rsidR="00B03560">
        <w:t xml:space="preserve">. </w:t>
      </w:r>
    </w:p>
    <w:p w14:paraId="7FF83050" w14:textId="480577BD" w:rsidR="00492DF3" w:rsidRDefault="00B03560" w:rsidP="00B03560">
      <w:pPr>
        <w:pStyle w:val="Odstavecseseznamem"/>
        <w:numPr>
          <w:ilvl w:val="0"/>
          <w:numId w:val="4"/>
        </w:numPr>
        <w:spacing w:after="120"/>
        <w:ind w:left="357" w:hanging="357"/>
        <w:contextualSpacing w:val="0"/>
        <w:jc w:val="both"/>
      </w:pPr>
      <w:r>
        <w:t>Položka Soupisu prací obsahuje:</w:t>
      </w:r>
    </w:p>
    <w:p w14:paraId="14066586" w14:textId="20D93329" w:rsidR="00492DF3" w:rsidRDefault="00B03560" w:rsidP="00492DF3">
      <w:pPr>
        <w:pStyle w:val="Odstavecseseznamem"/>
        <w:numPr>
          <w:ilvl w:val="0"/>
          <w:numId w:val="7"/>
        </w:numPr>
        <w:spacing w:after="0"/>
        <w:ind w:left="714" w:hanging="357"/>
        <w:contextualSpacing w:val="0"/>
        <w:jc w:val="both"/>
      </w:pPr>
      <w:r>
        <w:t>pořadové číslo položky</w:t>
      </w:r>
      <w:r w:rsidR="00492DF3">
        <w:t>,</w:t>
      </w:r>
    </w:p>
    <w:p w14:paraId="1DB3A86E" w14:textId="52C8BC67" w:rsidR="00492DF3" w:rsidRDefault="00B03560" w:rsidP="00492DF3">
      <w:pPr>
        <w:pStyle w:val="Odstavecseseznamem"/>
        <w:numPr>
          <w:ilvl w:val="0"/>
          <w:numId w:val="7"/>
        </w:numPr>
        <w:spacing w:after="0"/>
        <w:ind w:left="714" w:hanging="357"/>
        <w:contextualSpacing w:val="0"/>
        <w:jc w:val="both"/>
      </w:pPr>
      <w:r>
        <w:t>číselné zatřídění položky, pokud je možné danou položku zatřídit, s označením cenové soustavy, pokud je použita,</w:t>
      </w:r>
    </w:p>
    <w:p w14:paraId="7C0F1E7B" w14:textId="3478116A" w:rsidR="00492DF3" w:rsidRDefault="00B03560" w:rsidP="00492DF3">
      <w:pPr>
        <w:pStyle w:val="Odstavecseseznamem"/>
        <w:numPr>
          <w:ilvl w:val="0"/>
          <w:numId w:val="7"/>
        </w:numPr>
        <w:spacing w:after="0"/>
        <w:ind w:left="714" w:hanging="357"/>
        <w:contextualSpacing w:val="0"/>
        <w:jc w:val="both"/>
      </w:pPr>
      <w:r>
        <w:t>popis položky jednoznačně vymezující druh a kvalitu prací, dodávky nebo služby, s případným odkazem na části dokumentace pro zadání stavebních prací, zejména technické a cenové podmínky včetně uvedení technických parametrů nebo vlastností požadovaného materiálu nebo výrobku (</w:t>
      </w:r>
      <w:r w:rsidRPr="005C79F0">
        <w:rPr>
          <w:u w:val="single"/>
        </w:rPr>
        <w:t>bez obchodních názvů</w:t>
      </w:r>
      <w:r>
        <w:t>),</w:t>
      </w:r>
    </w:p>
    <w:p w14:paraId="22671225" w14:textId="7EE1BB3C" w:rsidR="00492DF3" w:rsidRDefault="00B03560" w:rsidP="00492DF3">
      <w:pPr>
        <w:pStyle w:val="Odstavecseseznamem"/>
        <w:numPr>
          <w:ilvl w:val="0"/>
          <w:numId w:val="7"/>
        </w:numPr>
        <w:spacing w:after="0"/>
        <w:ind w:left="714" w:hanging="357"/>
        <w:contextualSpacing w:val="0"/>
        <w:jc w:val="both"/>
      </w:pPr>
      <w:r>
        <w:t>měrnou jednotku (MJ),</w:t>
      </w:r>
    </w:p>
    <w:p w14:paraId="178E7062" w14:textId="0796A0C3" w:rsidR="00492DF3" w:rsidRDefault="00B03560" w:rsidP="00492DF3">
      <w:pPr>
        <w:pStyle w:val="Odstavecseseznamem"/>
        <w:numPr>
          <w:ilvl w:val="0"/>
          <w:numId w:val="7"/>
        </w:numPr>
        <w:spacing w:after="0"/>
        <w:ind w:left="714" w:hanging="357"/>
        <w:contextualSpacing w:val="0"/>
        <w:jc w:val="both"/>
      </w:pPr>
      <w:r>
        <w:t>množství MJ,</w:t>
      </w:r>
    </w:p>
    <w:p w14:paraId="0C2C9358" w14:textId="6C5F91AC" w:rsidR="00492DF3" w:rsidRDefault="00B03560" w:rsidP="00492DF3">
      <w:pPr>
        <w:pStyle w:val="Odstavecseseznamem"/>
        <w:numPr>
          <w:ilvl w:val="0"/>
          <w:numId w:val="7"/>
        </w:numPr>
        <w:spacing w:after="0"/>
        <w:ind w:left="714" w:hanging="357"/>
        <w:contextualSpacing w:val="0"/>
        <w:jc w:val="both"/>
      </w:pPr>
      <w:r>
        <w:t>výkaz výměr k uvedenému množství ve smyslu § 7 vyhlášky č. 169/2016 Sb.,</w:t>
      </w:r>
    </w:p>
    <w:p w14:paraId="2B1AD278" w14:textId="7AECE3D9" w:rsidR="00492DF3" w:rsidRDefault="00B03560" w:rsidP="00492DF3">
      <w:pPr>
        <w:pStyle w:val="Odstavecseseznamem"/>
        <w:numPr>
          <w:ilvl w:val="0"/>
          <w:numId w:val="7"/>
        </w:numPr>
        <w:spacing w:after="0"/>
        <w:ind w:left="714" w:hanging="357"/>
        <w:contextualSpacing w:val="0"/>
        <w:jc w:val="both"/>
      </w:pPr>
      <w:r>
        <w:t>cena/MJ,</w:t>
      </w:r>
    </w:p>
    <w:p w14:paraId="6E9D7D5C" w14:textId="53432CD3" w:rsidR="00B03560" w:rsidRDefault="00B03560" w:rsidP="00492DF3">
      <w:pPr>
        <w:pStyle w:val="Odstavecseseznamem"/>
        <w:numPr>
          <w:ilvl w:val="0"/>
          <w:numId w:val="7"/>
        </w:numPr>
        <w:spacing w:after="120"/>
        <w:contextualSpacing w:val="0"/>
        <w:jc w:val="both"/>
      </w:pPr>
      <w:r>
        <w:t>cenu celkem (Kč bez DPH)</w:t>
      </w:r>
      <w:r w:rsidR="00BD2095">
        <w:t>,</w:t>
      </w:r>
    </w:p>
    <w:p w14:paraId="50C4E8CA" w14:textId="77777777" w:rsidR="00AF6B58" w:rsidRPr="00D21793" w:rsidRDefault="00AF6B58" w:rsidP="00BD2095">
      <w:pPr>
        <w:pStyle w:val="Odstavecseseznamem"/>
        <w:numPr>
          <w:ilvl w:val="0"/>
          <w:numId w:val="7"/>
        </w:numPr>
        <w:spacing w:after="0" w:line="240" w:lineRule="auto"/>
        <w:ind w:left="714" w:hanging="357"/>
        <w:contextualSpacing w:val="0"/>
        <w:jc w:val="both"/>
      </w:pPr>
      <w:r w:rsidRPr="00D21793">
        <w:rPr>
          <w:rFonts w:ascii="Calibri" w:hAnsi="Calibri" w:cs="Calibri"/>
        </w:rPr>
        <w:t>hmotnost vztaženou k měrné jednotce,</w:t>
      </w:r>
    </w:p>
    <w:p w14:paraId="2D236ABF" w14:textId="77777777" w:rsidR="00AF6B58" w:rsidRPr="00D21793" w:rsidRDefault="00AF6B58" w:rsidP="00BD2095">
      <w:pPr>
        <w:pStyle w:val="Odstavecseseznamem"/>
        <w:numPr>
          <w:ilvl w:val="0"/>
          <w:numId w:val="7"/>
        </w:numPr>
        <w:spacing w:after="0" w:line="240" w:lineRule="auto"/>
        <w:ind w:left="714" w:hanging="357"/>
        <w:contextualSpacing w:val="0"/>
        <w:jc w:val="both"/>
      </w:pPr>
      <w:r w:rsidRPr="00D21793">
        <w:rPr>
          <w:rFonts w:ascii="Calibri" w:hAnsi="Calibri" w:cs="Calibri"/>
        </w:rPr>
        <w:lastRenderedPageBreak/>
        <w:t>hmotnost celkem,</w:t>
      </w:r>
    </w:p>
    <w:p w14:paraId="42C2E14D" w14:textId="77777777" w:rsidR="00AF6B58" w:rsidRPr="00D21793" w:rsidRDefault="00AF6B58" w:rsidP="00BD2095">
      <w:pPr>
        <w:pStyle w:val="Odstavecseseznamem"/>
        <w:numPr>
          <w:ilvl w:val="0"/>
          <w:numId w:val="7"/>
        </w:numPr>
        <w:spacing w:after="0" w:line="240" w:lineRule="auto"/>
        <w:ind w:left="714" w:hanging="357"/>
        <w:contextualSpacing w:val="0"/>
        <w:jc w:val="both"/>
      </w:pPr>
      <w:r w:rsidRPr="00D21793">
        <w:rPr>
          <w:rFonts w:ascii="Calibri" w:hAnsi="Calibri" w:cs="Calibri"/>
        </w:rPr>
        <w:t>demoliční hmotnost vztaženou k měrné jednotce,</w:t>
      </w:r>
    </w:p>
    <w:p w14:paraId="494A1E7D" w14:textId="77777777" w:rsidR="00AF6B58" w:rsidRPr="00D21793" w:rsidRDefault="00AF6B58" w:rsidP="00BD2095">
      <w:pPr>
        <w:pStyle w:val="Odstavecseseznamem"/>
        <w:numPr>
          <w:ilvl w:val="0"/>
          <w:numId w:val="7"/>
        </w:numPr>
        <w:spacing w:after="0" w:line="240" w:lineRule="auto"/>
        <w:ind w:left="714" w:hanging="357"/>
        <w:contextualSpacing w:val="0"/>
        <w:jc w:val="both"/>
      </w:pPr>
      <w:r w:rsidRPr="00D21793">
        <w:rPr>
          <w:rFonts w:ascii="Calibri" w:hAnsi="Calibri" w:cs="Calibri"/>
        </w:rPr>
        <w:t>demoliční hmotnost celkem,</w:t>
      </w:r>
    </w:p>
    <w:p w14:paraId="7B5D7B92" w14:textId="7209DC00" w:rsidR="00AF6B58" w:rsidRPr="00D21793" w:rsidRDefault="00AF6B58" w:rsidP="00AF6B58">
      <w:pPr>
        <w:pStyle w:val="Odstavecseseznamem"/>
        <w:numPr>
          <w:ilvl w:val="0"/>
          <w:numId w:val="7"/>
        </w:numPr>
        <w:spacing w:after="120"/>
        <w:contextualSpacing w:val="0"/>
        <w:jc w:val="both"/>
      </w:pPr>
      <w:r w:rsidRPr="00D21793">
        <w:rPr>
          <w:rFonts w:ascii="Calibri" w:hAnsi="Calibri" w:cs="Calibri"/>
        </w:rPr>
        <w:t>označení cenové soustavy, pokud byla použita</w:t>
      </w:r>
      <w:r w:rsidR="00BD2095" w:rsidRPr="00D21793">
        <w:rPr>
          <w:rFonts w:ascii="Calibri" w:hAnsi="Calibri" w:cs="Calibri"/>
        </w:rPr>
        <w:t>.</w:t>
      </w:r>
    </w:p>
    <w:p w14:paraId="48467C94" w14:textId="4DC5BF76" w:rsidR="00B03560" w:rsidRDefault="00B03560" w:rsidP="00B03560">
      <w:pPr>
        <w:pStyle w:val="Odstavecseseznamem"/>
        <w:numPr>
          <w:ilvl w:val="0"/>
          <w:numId w:val="4"/>
        </w:numPr>
        <w:spacing w:after="120"/>
        <w:ind w:left="357" w:hanging="357"/>
        <w:contextualSpacing w:val="0"/>
        <w:jc w:val="both"/>
      </w:pPr>
      <w:r>
        <w:t xml:space="preserve">Soupis prací </w:t>
      </w:r>
      <w:r w:rsidRPr="00492DF3">
        <w:rPr>
          <w:b/>
          <w:bCs/>
        </w:rPr>
        <w:t>nebude obsahovat položky</w:t>
      </w:r>
      <w:r>
        <w:t>, které jsou už od projektanta vymezeny množstvím „0“, tzn., nejsou součástí předmětu veřejné zakázky.</w:t>
      </w:r>
    </w:p>
    <w:p w14:paraId="7472D993" w14:textId="34365701" w:rsidR="00B03560" w:rsidRDefault="00B03560" w:rsidP="00B03560">
      <w:pPr>
        <w:pStyle w:val="Odstavecseseznamem"/>
        <w:numPr>
          <w:ilvl w:val="0"/>
          <w:numId w:val="4"/>
        </w:numPr>
        <w:spacing w:after="120"/>
        <w:ind w:left="357" w:hanging="357"/>
        <w:contextualSpacing w:val="0"/>
        <w:jc w:val="both"/>
      </w:pPr>
      <w:r>
        <w:t>Soupis prací nebude obsahovat položku „rezerva“ a jiné obdobné položky.</w:t>
      </w:r>
    </w:p>
    <w:p w14:paraId="0435F35A" w14:textId="0C082273" w:rsidR="00B03560" w:rsidRDefault="00B03560" w:rsidP="00B03560">
      <w:pPr>
        <w:pStyle w:val="Odstavecseseznamem"/>
        <w:numPr>
          <w:ilvl w:val="0"/>
          <w:numId w:val="4"/>
        </w:numPr>
        <w:spacing w:after="120"/>
        <w:ind w:left="357" w:hanging="357"/>
        <w:contextualSpacing w:val="0"/>
        <w:jc w:val="both"/>
      </w:pPr>
      <w:r>
        <w:t xml:space="preserve">Každá položka Soupisu prací musí obsahovat </w:t>
      </w:r>
      <w:r w:rsidRPr="00492DF3">
        <w:rPr>
          <w:b/>
          <w:bCs/>
        </w:rPr>
        <w:t>matematický vzorec tak, aby účastníci doplnili do předloženého Soupisu prací pouze jednotkovou cenu</w:t>
      </w:r>
      <w:r>
        <w:t>. Doplněná jednotková cena bude automaticky vynásobena zadaným množstvím a bude automaticky doplněna vypočtená celková cena za konkrétní položku. Stejně tak musí být do Soupisu prací doplněny matematické vzorce pro automatický výpočet celkových cen jednotlivých oddílů Soupisu prací, a celkové ceny za celý předmět veřejné zakázky.</w:t>
      </w:r>
    </w:p>
    <w:p w14:paraId="58F7BE71" w14:textId="250CA860" w:rsidR="00B03560" w:rsidRDefault="00B03560" w:rsidP="00B03560">
      <w:pPr>
        <w:pStyle w:val="Odstavecseseznamem"/>
        <w:numPr>
          <w:ilvl w:val="0"/>
          <w:numId w:val="4"/>
        </w:numPr>
        <w:spacing w:after="120"/>
        <w:ind w:left="357" w:hanging="357"/>
        <w:contextualSpacing w:val="0"/>
        <w:jc w:val="both"/>
      </w:pPr>
      <w:r>
        <w:t xml:space="preserve">Všechny části Soupis prací (krycí list, rekapitulace, samotný rozpočet) musí být provázány </w:t>
      </w:r>
      <w:r w:rsidRPr="00492DF3">
        <w:rPr>
          <w:b/>
          <w:bCs/>
        </w:rPr>
        <w:t>navzájem funkcemi, pomocí kterých se budou jednotlivé hodnoty mezi všemi částmi Soupisu prací vzájemně automaticky překlápět</w:t>
      </w:r>
      <w:r>
        <w:t>, aby nedocházelo k chybám při přepisech hodnot a při provádění matematických operací.</w:t>
      </w:r>
    </w:p>
    <w:p w14:paraId="6FE220EE" w14:textId="1743BE75" w:rsidR="00B03560" w:rsidRPr="00D21793" w:rsidRDefault="00B03560" w:rsidP="00B03560">
      <w:pPr>
        <w:pStyle w:val="Odstavecseseznamem"/>
        <w:numPr>
          <w:ilvl w:val="0"/>
          <w:numId w:val="4"/>
        </w:numPr>
        <w:spacing w:after="120"/>
        <w:ind w:left="357" w:hanging="357"/>
        <w:contextualSpacing w:val="0"/>
        <w:jc w:val="both"/>
      </w:pPr>
      <w:r w:rsidRPr="00D21793">
        <w:rPr>
          <w:b/>
          <w:bCs/>
        </w:rPr>
        <w:t>Všechny needitovatelné části Soupisu prací budou uzamčeny</w:t>
      </w:r>
      <w:r w:rsidRPr="00D21793">
        <w:t>. Zamykat se nebudou zejména sloupec pro doplnění ceny za měrnou jednotku, buňky pro doplnění množství přesunu hmot, buňky pro stanovení výpočtu vedlejších nákladů a ostatních nákladů a jiné obdobné buňky, které musí být předmětem soutěže.</w:t>
      </w:r>
    </w:p>
    <w:p w14:paraId="0E0A0434" w14:textId="34E818F3" w:rsidR="00B03560" w:rsidRPr="00D21793" w:rsidRDefault="00B03560" w:rsidP="00B03560">
      <w:pPr>
        <w:pStyle w:val="Odstavecseseznamem"/>
        <w:numPr>
          <w:ilvl w:val="0"/>
          <w:numId w:val="4"/>
        </w:numPr>
        <w:spacing w:after="120"/>
        <w:ind w:left="357" w:hanging="357"/>
        <w:contextualSpacing w:val="0"/>
        <w:jc w:val="both"/>
      </w:pPr>
      <w:r w:rsidRPr="00D21793">
        <w:t>Obsah položek „vedlejší náklady a ostatní náklady“ a jiné obdobné položky musí být stanoven v souladu se závazky smluvních stran vymezenými ve smlouvě o plnění předmětu veřejné zakázky. Ve výkazu výměr musí být vymezeno, co je zahrnuto do vedlejších nákladů a ostatních nákladů a obdobných položek, např. zařízení staveniště, kolaudaci, vyhotovení dokumentace skutečného provedení, pasportizace, pojištění, náklady na bankovní záruky, náklady na publicitu projektu, jiné zajišťovací instituty neuvedené v položkových soupisech atd. Zadavatel poskytne odpovědnému projektantovi součinnost při vymezení obsahu těchto položek.</w:t>
      </w:r>
    </w:p>
    <w:p w14:paraId="7C3B5837" w14:textId="0760A8EB" w:rsidR="00B03560" w:rsidRPr="00D21793" w:rsidRDefault="00B03560" w:rsidP="00B03560">
      <w:pPr>
        <w:pStyle w:val="Odstavecseseznamem"/>
        <w:numPr>
          <w:ilvl w:val="0"/>
          <w:numId w:val="4"/>
        </w:numPr>
        <w:spacing w:after="120"/>
        <w:ind w:left="357" w:hanging="357"/>
        <w:contextualSpacing w:val="0"/>
        <w:jc w:val="both"/>
      </w:pPr>
      <w:r w:rsidRPr="00D21793">
        <w:t>Elektronická podoba Soupisu prací má takový otevřený formát EXCEL, který umožní transfery dat a jejich zpracování různými softwarovými produkty pro sestavení nabídkové ceny a zároveň se jedná o formát volně dostupný (</w:t>
      </w:r>
      <w:proofErr w:type="spellStart"/>
      <w:r w:rsidRPr="00D21793">
        <w:t>xlsx</w:t>
      </w:r>
      <w:proofErr w:type="spellEnd"/>
      <w:r w:rsidRPr="00D21793">
        <w:t xml:space="preserve"> atd.).</w:t>
      </w:r>
    </w:p>
    <w:p w14:paraId="223CEDFB" w14:textId="653C4ED4" w:rsidR="00782964" w:rsidRPr="00D21793" w:rsidRDefault="00782964" w:rsidP="00782964">
      <w:pPr>
        <w:pStyle w:val="Odstavecseseznamem"/>
        <w:numPr>
          <w:ilvl w:val="0"/>
          <w:numId w:val="4"/>
        </w:numPr>
        <w:spacing w:after="120"/>
        <w:ind w:left="357" w:hanging="357"/>
        <w:contextualSpacing w:val="0"/>
        <w:jc w:val="both"/>
      </w:pPr>
      <w:r w:rsidRPr="00D21793">
        <w:t>Rozpočet musí vždy obsahovat sloupec, ve kterém je uveden odkaz na typ použité cenové soustavy ve tvaru „rok</w:t>
      </w:r>
      <w:r w:rsidR="00287C64" w:rsidRPr="00D21793">
        <w:t xml:space="preserve"> </w:t>
      </w:r>
      <w:r w:rsidRPr="00D21793">
        <w:t xml:space="preserve">typ cenové soustavy“ (např. „2018_OTSKP“ nebo „CS ÚRS 2018 O1“ nebo „RTS DATA 2018/I“), a to i v jeho elektronické podobě ve formátu XML – jedná se o otevřený elektronický formát, který umožňuje transfery dat a jejich zpracování různými softwarovými programy a splňuje požadavky vyhlášky č. 169/2016 </w:t>
      </w:r>
      <w:r w:rsidR="00445C87" w:rsidRPr="00D21793">
        <w:t xml:space="preserve">Sb. </w:t>
      </w:r>
      <w:r w:rsidRPr="00D21793">
        <w:t>a je volně dostupný.</w:t>
      </w:r>
      <w:r w:rsidR="001360F3" w:rsidRPr="00D21793">
        <w:t xml:space="preserve"> Pokud nebudou položky dle cenové soustavy, doloží projektant nabídku min. 3 dodavatelů.</w:t>
      </w:r>
    </w:p>
    <w:p w14:paraId="44F15D21" w14:textId="6E1FD66B" w:rsidR="00B03560" w:rsidRDefault="00B03560" w:rsidP="00B03560">
      <w:pPr>
        <w:pStyle w:val="Odstavecseseznamem"/>
        <w:numPr>
          <w:ilvl w:val="0"/>
          <w:numId w:val="4"/>
        </w:numPr>
        <w:spacing w:after="120"/>
        <w:ind w:left="357" w:hanging="357"/>
        <w:contextualSpacing w:val="0"/>
        <w:jc w:val="both"/>
      </w:pPr>
      <w:r>
        <w:t xml:space="preserve">Pokud je součástí předložených technických podkladů (realizační dokumentace) Soupis prací ve formátu </w:t>
      </w:r>
      <w:r w:rsidR="00287C64">
        <w:t>.</w:t>
      </w:r>
      <w:proofErr w:type="spellStart"/>
      <w:r>
        <w:t>pdf</w:t>
      </w:r>
      <w:proofErr w:type="spellEnd"/>
      <w:r>
        <w:t xml:space="preserve"> (či jiném obdobném formátu) musí být ve vzájemném souladu s jeho editovatelnou verzí.</w:t>
      </w:r>
    </w:p>
    <w:p w14:paraId="17437A9F" w14:textId="299CB656" w:rsidR="005A1B0C" w:rsidRDefault="00B03560" w:rsidP="00B03560">
      <w:pPr>
        <w:pStyle w:val="Odstavecseseznamem"/>
        <w:numPr>
          <w:ilvl w:val="0"/>
          <w:numId w:val="4"/>
        </w:numPr>
        <w:spacing w:after="120"/>
        <w:ind w:left="357" w:hanging="357"/>
        <w:contextualSpacing w:val="0"/>
        <w:jc w:val="both"/>
      </w:pPr>
      <w:r>
        <w:t xml:space="preserve">V jednotlivých položkách bude nastaven </w:t>
      </w:r>
      <w:r w:rsidRPr="00492DF3">
        <w:rPr>
          <w:b/>
          <w:bCs/>
        </w:rPr>
        <w:t>jednotný systém zaokrouhlování na dvě desetinná místa</w:t>
      </w:r>
      <w:r>
        <w:t>. Stejný formát zaokrouhlování bude použit na krycím listu a rekapitulaci výkazu výměr. Množství měrných jednotek musí být uvedeno na skutečný počet desetinných míst bez zaokrouhlování.</w:t>
      </w:r>
    </w:p>
    <w:sectPr w:rsidR="005A1B0C" w:rsidSect="00B03560">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DF4E0" w14:textId="77777777" w:rsidR="002C0F28" w:rsidRDefault="002C0F28" w:rsidP="00B03560">
      <w:pPr>
        <w:spacing w:after="0" w:line="240" w:lineRule="auto"/>
      </w:pPr>
      <w:r>
        <w:separator/>
      </w:r>
    </w:p>
  </w:endnote>
  <w:endnote w:type="continuationSeparator" w:id="0">
    <w:p w14:paraId="455B5E62" w14:textId="77777777" w:rsidR="002C0F28" w:rsidRDefault="002C0F28" w:rsidP="00B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2752F" w14:textId="77777777" w:rsidR="002C0F28" w:rsidRDefault="002C0F28" w:rsidP="00B03560">
      <w:pPr>
        <w:spacing w:after="0" w:line="240" w:lineRule="auto"/>
      </w:pPr>
      <w:r>
        <w:separator/>
      </w:r>
    </w:p>
  </w:footnote>
  <w:footnote w:type="continuationSeparator" w:id="0">
    <w:p w14:paraId="4F2E0AD4" w14:textId="77777777" w:rsidR="002C0F28" w:rsidRDefault="002C0F28" w:rsidP="00B03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197B" w14:textId="237B9446" w:rsidR="00B03560" w:rsidRDefault="00B03560" w:rsidP="00842F92">
    <w:pPr>
      <w:spacing w:after="0" w:line="240" w:lineRule="auto"/>
      <w:jc w:val="right"/>
    </w:pPr>
    <w:r>
      <w:t>Příloha č. 1 Specifikace výkonových fází díla</w:t>
    </w:r>
  </w:p>
  <w:p w14:paraId="0A09CE70" w14:textId="77777777" w:rsidR="00B03560" w:rsidRDefault="00B03560" w:rsidP="00A34DA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BD54BFA2"/>
    <w:name w:val="WWNum17"/>
    <w:lvl w:ilvl="0">
      <w:start w:val="1"/>
      <w:numFmt w:val="decimal"/>
      <w:lvlText w:val="%1."/>
      <w:lvlJc w:val="left"/>
      <w:pPr>
        <w:tabs>
          <w:tab w:val="num" w:pos="0"/>
        </w:tabs>
        <w:ind w:left="357" w:hanging="357"/>
      </w:pPr>
      <w:rPr>
        <w:b w:val="0"/>
        <w:i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15:restartNumberingAfterBreak="0">
    <w:nsid w:val="06AB7900"/>
    <w:multiLevelType w:val="hybridMultilevel"/>
    <w:tmpl w:val="7786AF10"/>
    <w:lvl w:ilvl="0" w:tplc="0405000F">
      <w:start w:val="1"/>
      <w:numFmt w:val="decimal"/>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230769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 w15:restartNumberingAfterBreak="0">
    <w:nsid w:val="27CD0BE0"/>
    <w:multiLevelType w:val="hybridMultilevel"/>
    <w:tmpl w:val="7E9C979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9AA4FA8"/>
    <w:multiLevelType w:val="hybridMultilevel"/>
    <w:tmpl w:val="52D8B47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66E07055"/>
    <w:multiLevelType w:val="hybridMultilevel"/>
    <w:tmpl w:val="30AA50F6"/>
    <w:lvl w:ilvl="0" w:tplc="04050015">
      <w:start w:val="1"/>
      <w:numFmt w:val="upperLetter"/>
      <w:lvlText w:val="%1."/>
      <w:lvlJc w:val="left"/>
      <w:pPr>
        <w:ind w:left="360" w:hanging="360"/>
      </w:pPr>
    </w:lvl>
    <w:lvl w:ilvl="1" w:tplc="6E6E1512">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74246BEB"/>
    <w:multiLevelType w:val="hybridMultilevel"/>
    <w:tmpl w:val="F2D6AE4A"/>
    <w:lvl w:ilvl="0" w:tplc="91584C90">
      <w:start w:val="5"/>
      <w:numFmt w:val="decimal"/>
      <w:lvlText w:val="%1."/>
      <w:lvlJc w:val="left"/>
      <w:pPr>
        <w:ind w:left="7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AEB940">
      <w:start w:val="1"/>
      <w:numFmt w:val="lowerLetter"/>
      <w:lvlText w:val="%2)"/>
      <w:lvlJc w:val="left"/>
      <w:pPr>
        <w:ind w:left="170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64C72F4">
      <w:start w:val="1"/>
      <w:numFmt w:val="lowerRoman"/>
      <w:lvlText w:val="%3"/>
      <w:lvlJc w:val="left"/>
      <w:pPr>
        <w:ind w:left="24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B05138">
      <w:start w:val="1"/>
      <w:numFmt w:val="decimal"/>
      <w:lvlText w:val="%4"/>
      <w:lvlJc w:val="left"/>
      <w:pPr>
        <w:ind w:left="3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724144">
      <w:start w:val="1"/>
      <w:numFmt w:val="lowerLetter"/>
      <w:lvlText w:val="%5"/>
      <w:lvlJc w:val="left"/>
      <w:pPr>
        <w:ind w:left="3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61647D0">
      <w:start w:val="1"/>
      <w:numFmt w:val="lowerRoman"/>
      <w:lvlText w:val="%6"/>
      <w:lvlJc w:val="left"/>
      <w:pPr>
        <w:ind w:left="4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38E246">
      <w:start w:val="1"/>
      <w:numFmt w:val="decimal"/>
      <w:lvlText w:val="%7"/>
      <w:lvlJc w:val="left"/>
      <w:pPr>
        <w:ind w:left="5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44F00C">
      <w:start w:val="1"/>
      <w:numFmt w:val="lowerLetter"/>
      <w:lvlText w:val="%8"/>
      <w:lvlJc w:val="left"/>
      <w:pPr>
        <w:ind w:left="60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0A6446">
      <w:start w:val="1"/>
      <w:numFmt w:val="lowerRoman"/>
      <w:lvlText w:val="%9"/>
      <w:lvlJc w:val="left"/>
      <w:pPr>
        <w:ind w:left="6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9532FDB"/>
    <w:multiLevelType w:val="hybridMultilevel"/>
    <w:tmpl w:val="39609D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C370C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5"/>
  </w:num>
  <w:num w:numId="2">
    <w:abstractNumId w:val="7"/>
  </w:num>
  <w:num w:numId="3">
    <w:abstractNumId w:val="4"/>
  </w:num>
  <w:num w:numId="4">
    <w:abstractNumId w:val="3"/>
  </w:num>
  <w:num w:numId="5">
    <w:abstractNumId w:val="1"/>
  </w:num>
  <w:num w:numId="6">
    <w:abstractNumId w:val="2"/>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60"/>
    <w:rsid w:val="00031A3B"/>
    <w:rsid w:val="00050E85"/>
    <w:rsid w:val="000D62FB"/>
    <w:rsid w:val="000E7170"/>
    <w:rsid w:val="000E7AB7"/>
    <w:rsid w:val="00114F03"/>
    <w:rsid w:val="00130A44"/>
    <w:rsid w:val="00134760"/>
    <w:rsid w:val="001360F3"/>
    <w:rsid w:val="00177946"/>
    <w:rsid w:val="00186972"/>
    <w:rsid w:val="001A1DD3"/>
    <w:rsid w:val="001F4427"/>
    <w:rsid w:val="0020484A"/>
    <w:rsid w:val="0028219D"/>
    <w:rsid w:val="00287C64"/>
    <w:rsid w:val="00297197"/>
    <w:rsid w:val="002C0F28"/>
    <w:rsid w:val="00362D68"/>
    <w:rsid w:val="003739FC"/>
    <w:rsid w:val="003E07DF"/>
    <w:rsid w:val="003E63F6"/>
    <w:rsid w:val="004036F7"/>
    <w:rsid w:val="00445C87"/>
    <w:rsid w:val="00451676"/>
    <w:rsid w:val="00461D12"/>
    <w:rsid w:val="00476E5F"/>
    <w:rsid w:val="00492DF3"/>
    <w:rsid w:val="004A2BE1"/>
    <w:rsid w:val="004C542C"/>
    <w:rsid w:val="005175AA"/>
    <w:rsid w:val="005467F4"/>
    <w:rsid w:val="005801A8"/>
    <w:rsid w:val="00583D2D"/>
    <w:rsid w:val="00593071"/>
    <w:rsid w:val="005A1B0C"/>
    <w:rsid w:val="005B1676"/>
    <w:rsid w:val="005C79F0"/>
    <w:rsid w:val="005F4073"/>
    <w:rsid w:val="00655ACE"/>
    <w:rsid w:val="006701D4"/>
    <w:rsid w:val="00683C30"/>
    <w:rsid w:val="00685334"/>
    <w:rsid w:val="006E551B"/>
    <w:rsid w:val="007611D5"/>
    <w:rsid w:val="007701C6"/>
    <w:rsid w:val="00771D03"/>
    <w:rsid w:val="00782964"/>
    <w:rsid w:val="00782AD4"/>
    <w:rsid w:val="0079559A"/>
    <w:rsid w:val="00797E7B"/>
    <w:rsid w:val="007C54DC"/>
    <w:rsid w:val="007D1674"/>
    <w:rsid w:val="007D4316"/>
    <w:rsid w:val="007E30CA"/>
    <w:rsid w:val="008153A3"/>
    <w:rsid w:val="008421E0"/>
    <w:rsid w:val="00842F92"/>
    <w:rsid w:val="00864D55"/>
    <w:rsid w:val="00864DD9"/>
    <w:rsid w:val="00867403"/>
    <w:rsid w:val="008C74C6"/>
    <w:rsid w:val="008E5A98"/>
    <w:rsid w:val="00902A4B"/>
    <w:rsid w:val="00923F24"/>
    <w:rsid w:val="00931C21"/>
    <w:rsid w:val="009525C2"/>
    <w:rsid w:val="00970D90"/>
    <w:rsid w:val="0099136A"/>
    <w:rsid w:val="00994498"/>
    <w:rsid w:val="009A72BE"/>
    <w:rsid w:val="009B2381"/>
    <w:rsid w:val="009C6C41"/>
    <w:rsid w:val="009D12EE"/>
    <w:rsid w:val="00A23E82"/>
    <w:rsid w:val="00A317BC"/>
    <w:rsid w:val="00A34DA0"/>
    <w:rsid w:val="00A44DA4"/>
    <w:rsid w:val="00A44E5F"/>
    <w:rsid w:val="00AA6B57"/>
    <w:rsid w:val="00AE2799"/>
    <w:rsid w:val="00AF6B58"/>
    <w:rsid w:val="00B03560"/>
    <w:rsid w:val="00B11E6E"/>
    <w:rsid w:val="00B26FBA"/>
    <w:rsid w:val="00B379C5"/>
    <w:rsid w:val="00B57099"/>
    <w:rsid w:val="00B879F0"/>
    <w:rsid w:val="00BA423F"/>
    <w:rsid w:val="00BC2141"/>
    <w:rsid w:val="00BC2AFB"/>
    <w:rsid w:val="00BD2095"/>
    <w:rsid w:val="00BE1F11"/>
    <w:rsid w:val="00BF32A6"/>
    <w:rsid w:val="00C035BF"/>
    <w:rsid w:val="00C234BA"/>
    <w:rsid w:val="00C63858"/>
    <w:rsid w:val="00C954A3"/>
    <w:rsid w:val="00CA1FCE"/>
    <w:rsid w:val="00CB680B"/>
    <w:rsid w:val="00CC200A"/>
    <w:rsid w:val="00D14B77"/>
    <w:rsid w:val="00D21793"/>
    <w:rsid w:val="00D22F8C"/>
    <w:rsid w:val="00D631F0"/>
    <w:rsid w:val="00D6438F"/>
    <w:rsid w:val="00D677F9"/>
    <w:rsid w:val="00DD1DB3"/>
    <w:rsid w:val="00E82192"/>
    <w:rsid w:val="00E86358"/>
    <w:rsid w:val="00EB602A"/>
    <w:rsid w:val="00F04DD0"/>
    <w:rsid w:val="00F947D3"/>
    <w:rsid w:val="00FC0270"/>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E21F8"/>
  <w15:chartTrackingRefBased/>
  <w15:docId w15:val="{2A622241-B37E-4680-9BBC-3766E2D5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AF6B58"/>
    <w:pPr>
      <w:keepNext/>
      <w:spacing w:before="240" w:after="60" w:line="240" w:lineRule="auto"/>
      <w:outlineLvl w:val="0"/>
    </w:pPr>
    <w:rPr>
      <w:rFonts w:ascii="Arial" w:eastAsia="Times New Roman" w:hAnsi="Arial" w:cs="Arial"/>
      <w:b/>
      <w:bC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3560"/>
    <w:pPr>
      <w:ind w:left="720"/>
      <w:contextualSpacing/>
    </w:pPr>
  </w:style>
  <w:style w:type="paragraph" w:styleId="Zhlav">
    <w:name w:val="header"/>
    <w:basedOn w:val="Normln"/>
    <w:link w:val="ZhlavChar"/>
    <w:uiPriority w:val="99"/>
    <w:unhideWhenUsed/>
    <w:rsid w:val="00B035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560"/>
  </w:style>
  <w:style w:type="paragraph" w:styleId="Zpat">
    <w:name w:val="footer"/>
    <w:basedOn w:val="Normln"/>
    <w:link w:val="ZpatChar"/>
    <w:uiPriority w:val="99"/>
    <w:unhideWhenUsed/>
    <w:rsid w:val="00B0356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560"/>
  </w:style>
  <w:style w:type="character" w:styleId="Odkaznakoment">
    <w:name w:val="annotation reference"/>
    <w:basedOn w:val="Standardnpsmoodstavce"/>
    <w:uiPriority w:val="99"/>
    <w:semiHidden/>
    <w:unhideWhenUsed/>
    <w:rsid w:val="008E5A98"/>
    <w:rPr>
      <w:sz w:val="16"/>
      <w:szCs w:val="16"/>
    </w:rPr>
  </w:style>
  <w:style w:type="paragraph" w:styleId="Textkomente">
    <w:name w:val="annotation text"/>
    <w:basedOn w:val="Normln"/>
    <w:link w:val="TextkomenteChar"/>
    <w:uiPriority w:val="99"/>
    <w:unhideWhenUsed/>
    <w:rsid w:val="008E5A98"/>
    <w:pPr>
      <w:spacing w:line="240" w:lineRule="auto"/>
    </w:pPr>
    <w:rPr>
      <w:sz w:val="20"/>
      <w:szCs w:val="20"/>
    </w:rPr>
  </w:style>
  <w:style w:type="character" w:customStyle="1" w:styleId="TextkomenteChar">
    <w:name w:val="Text komentáře Char"/>
    <w:basedOn w:val="Standardnpsmoodstavce"/>
    <w:link w:val="Textkomente"/>
    <w:uiPriority w:val="99"/>
    <w:rsid w:val="008E5A98"/>
    <w:rPr>
      <w:sz w:val="20"/>
      <w:szCs w:val="20"/>
    </w:rPr>
  </w:style>
  <w:style w:type="paragraph" w:styleId="Pedmtkomente">
    <w:name w:val="annotation subject"/>
    <w:basedOn w:val="Textkomente"/>
    <w:next w:val="Textkomente"/>
    <w:link w:val="PedmtkomenteChar"/>
    <w:uiPriority w:val="99"/>
    <w:semiHidden/>
    <w:unhideWhenUsed/>
    <w:rsid w:val="008E5A98"/>
    <w:rPr>
      <w:b/>
      <w:bCs/>
    </w:rPr>
  </w:style>
  <w:style w:type="character" w:customStyle="1" w:styleId="PedmtkomenteChar">
    <w:name w:val="Předmět komentáře Char"/>
    <w:basedOn w:val="TextkomenteChar"/>
    <w:link w:val="Pedmtkomente"/>
    <w:uiPriority w:val="99"/>
    <w:semiHidden/>
    <w:rsid w:val="008E5A98"/>
    <w:rPr>
      <w:b/>
      <w:bCs/>
      <w:sz w:val="20"/>
      <w:szCs w:val="20"/>
    </w:rPr>
  </w:style>
  <w:style w:type="paragraph" w:styleId="Revize">
    <w:name w:val="Revision"/>
    <w:hidden/>
    <w:uiPriority w:val="99"/>
    <w:semiHidden/>
    <w:rsid w:val="00A34DA0"/>
    <w:pPr>
      <w:spacing w:after="0" w:line="240" w:lineRule="auto"/>
    </w:pPr>
  </w:style>
  <w:style w:type="character" w:customStyle="1" w:styleId="Nadpis1Char">
    <w:name w:val="Nadpis 1 Char"/>
    <w:basedOn w:val="Standardnpsmoodstavce"/>
    <w:link w:val="Nadpis1"/>
    <w:rsid w:val="00AF6B58"/>
    <w:rPr>
      <w:rFonts w:ascii="Arial" w:eastAsia="Times New Roman" w:hAnsi="Arial" w:cs="Arial"/>
      <w:b/>
      <w:bCs/>
      <w:kern w:val="32"/>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1352</Words>
  <Characters>7979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Váňa Jakub</dc:creator>
  <cp:keywords/>
  <dc:description/>
  <cp:lastModifiedBy>Zezulová Jana</cp:lastModifiedBy>
  <cp:revision>3</cp:revision>
  <dcterms:created xsi:type="dcterms:W3CDTF">2025-04-03T11:02:00Z</dcterms:created>
  <dcterms:modified xsi:type="dcterms:W3CDTF">2025-04-03T12:05:00Z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2021-12-23T10:08:38.1012645Z</vt:lpwstr>
  </property>
  <property fmtid="{D5CDD505-2E9C-101B-9397-08002B2CF9AE}" pid="5" name="MSIP_Label_690ebb53-23a2-471a-9c6e-17bd0d11311e_Name">
    <vt:lpwstr>Verejne</vt:lpwstr>
  </property>
  <property fmtid="{D5CDD505-2E9C-101B-9397-08002B2CF9AE}" pid="6" name="MSIP_Label_690ebb53-23a2-471a-9c6e-17bd0d11311e_ActionId">
    <vt:lpwstr>61ae0b1d-edff-4768-a86f-9c7e4b4db8e4</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ies>
</file>