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4649EEE4" w14:textId="71871E8C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Příloha č.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974CA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</w:t>
      </w:r>
      <w:r w:rsidRPr="002C699D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Výzvy k podání nabídk</w:t>
      </w:r>
      <w:r w:rsidR="00DA4A72">
        <w:rPr>
          <w:rFonts w:asciiTheme="minorHAnsi" w:hAnsiTheme="minorHAnsi" w:cstheme="minorHAnsi"/>
          <w:b/>
          <w:sz w:val="22"/>
          <w:szCs w:val="22"/>
          <w:lang w:eastAsia="cs-CZ"/>
        </w:rPr>
        <w:t>y</w:t>
      </w:r>
    </w:p>
    <w:p w14:paraId="1D5E71D4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-</w:t>
      </w:r>
    </w:p>
    <w:p w14:paraId="4B41930E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Předloha smlouv</w:t>
      </w:r>
      <w:bookmarkStart w:id="0" w:name="fddfs"/>
      <w:bookmarkEnd w:id="0"/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y o dílo</w:t>
      </w: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" w:name="_Ref448914002"/>
      <w:bookmarkStart w:id="2" w:name="_Toc383117509"/>
      <w:r w:rsidRPr="002C699D">
        <w:rPr>
          <w:rFonts w:cstheme="minorHAnsi"/>
          <w:szCs w:val="22"/>
        </w:rPr>
        <w:t>SMLUVNÍ STRANY</w:t>
      </w:r>
      <w:bookmarkEnd w:id="1"/>
      <w:bookmarkEnd w:id="2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3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6876330247/0100</w:t>
      </w:r>
    </w:p>
    <w:p w14:paraId="7108DEC0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Ing. Tomáš Ustohal</w:t>
      </w:r>
    </w:p>
    <w:p w14:paraId="7C567085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ustohal@oabrno.cz</w:t>
      </w:r>
    </w:p>
    <w:p w14:paraId="1B27996D" w14:textId="28C99925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+420 734 446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97743">
        <w:rPr>
          <w:rFonts w:asciiTheme="minorHAnsi" w:hAnsiTheme="minorHAnsi" w:cstheme="minorHAnsi"/>
          <w:sz w:val="22"/>
          <w:szCs w:val="22"/>
        </w:rPr>
        <w:t>213</w:t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291B5549" w14:textId="69D58644" w:rsid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FDE159D" w14:textId="17BB19B3" w:rsidR="00EE4EFB" w:rsidRP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: 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09229F4F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5282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4C842362" w:rsidR="00EE4EFB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710A6E55" w14:textId="740B8904" w:rsidR="00EE4EFB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A257A54" w14:textId="41C04BA4" w:rsidR="0065282E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4BEEE58E" w:rsidR="00EE4EFB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-mail: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1C8CC8A" w14:textId="3BCB5288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29ED92" w14:textId="1D8BBC6E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9D2A4C2" w14:textId="77777777" w:rsidR="0065282E" w:rsidRPr="002C699D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4C878E5" w14:textId="77777777" w:rsidR="0065282E" w:rsidRPr="002C699D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lastRenderedPageBreak/>
        <w:t>ZÁKLADNÍ USTANOVENÍ SMLOUVY A ÚČEL SMLOUVY</w:t>
      </w:r>
    </w:p>
    <w:p w14:paraId="2AB1342D" w14:textId="18A09C6A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r w:rsidR="00446483">
        <w:rPr>
          <w:rFonts w:asciiTheme="minorHAnsi" w:hAnsiTheme="minorHAnsi" w:cstheme="minorHAnsi"/>
          <w:b/>
          <w:sz w:val="22"/>
          <w:szCs w:val="22"/>
        </w:rPr>
        <w:t>Dodávka a instalace audiovizuální techniky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644AEE10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Objednatel je oprávněn rozhodovat ve vztahu ke všem objektům realizovaným v rámci </w:t>
      </w:r>
      <w:r w:rsidR="00446483">
        <w:rPr>
          <w:rFonts w:asciiTheme="minorHAnsi" w:hAnsiTheme="minorHAnsi" w:cstheme="minorHAnsi"/>
          <w:noProof/>
          <w:color w:val="000000"/>
          <w:sz w:val="22"/>
          <w:szCs w:val="22"/>
        </w:rPr>
        <w:t>díla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4" w:name="_Toc335318128"/>
      <w:bookmarkStart w:id="5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4"/>
      <w:bookmarkEnd w:id="5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6"/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8" w:name="_Ref20918676"/>
      <w:r w:rsidRPr="002C699D">
        <w:rPr>
          <w:rFonts w:cstheme="minorHAnsi"/>
          <w:szCs w:val="22"/>
        </w:rPr>
        <w:t xml:space="preserve">PŘEDMĚT </w:t>
      </w:r>
      <w:bookmarkEnd w:id="8"/>
      <w:r w:rsidRPr="002C699D">
        <w:rPr>
          <w:rFonts w:cstheme="minorHAnsi"/>
          <w:szCs w:val="22"/>
        </w:rPr>
        <w:t xml:space="preserve">DÍLA </w:t>
      </w:r>
    </w:p>
    <w:p w14:paraId="34555AC1" w14:textId="53D203F5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B00579">
        <w:rPr>
          <w:rFonts w:asciiTheme="minorHAnsi" w:hAnsiTheme="minorHAnsi" w:cstheme="minorHAnsi"/>
          <w:sz w:val="22"/>
          <w:szCs w:val="22"/>
        </w:rPr>
        <w:t> </w:t>
      </w:r>
      <w:r w:rsidR="00D42122">
        <w:rPr>
          <w:rFonts w:asciiTheme="minorHAnsi" w:hAnsiTheme="minorHAnsi" w:cstheme="minorHAnsi"/>
          <w:sz w:val="22"/>
          <w:szCs w:val="22"/>
        </w:rPr>
        <w:t>provedení</w:t>
      </w:r>
      <w:r w:rsidR="00B00579">
        <w:rPr>
          <w:rFonts w:asciiTheme="minorHAnsi" w:hAnsiTheme="minorHAnsi" w:cstheme="minorHAnsi"/>
          <w:sz w:val="22"/>
          <w:szCs w:val="22"/>
        </w:rPr>
        <w:t xml:space="preserve"> </w:t>
      </w:r>
      <w:r w:rsidR="00446483">
        <w:rPr>
          <w:rFonts w:asciiTheme="minorHAnsi" w:hAnsiTheme="minorHAnsi" w:cstheme="minorHAnsi"/>
          <w:sz w:val="22"/>
          <w:szCs w:val="22"/>
        </w:rPr>
        <w:t>dodávky a instalace audiovizuální techniky v učebně 712</w:t>
      </w:r>
      <w:r w:rsidR="001F1472">
        <w:rPr>
          <w:rFonts w:asciiTheme="minorHAnsi" w:hAnsiTheme="minorHAnsi" w:cstheme="minorHAnsi"/>
          <w:sz w:val="22"/>
          <w:szCs w:val="22"/>
        </w:rPr>
        <w:t xml:space="preserve">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0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10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5C03EBCE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r w:rsidR="00446483">
        <w:rPr>
          <w:rFonts w:asciiTheme="minorHAnsi" w:hAnsiTheme="minorHAnsi" w:cstheme="minorHAnsi"/>
          <w:sz w:val="22"/>
          <w:szCs w:val="22"/>
        </w:rPr>
        <w:t>dodávku a instalaci audiovizuální techniky do učebny 712 včetně zapojení a konfigurace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0C21CB" w14:textId="59D85A10" w:rsidR="003E267E" w:rsidRPr="00E62418" w:rsidRDefault="00446483" w:rsidP="00561A3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Dodávku audiovizuální techniky</w:t>
      </w:r>
      <w:r w:rsidR="003E267E" w:rsidRPr="00E62418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D4FE112" w14:textId="538165B4" w:rsidR="00AE3D7C" w:rsidRDefault="00E152E2" w:rsidP="00A00554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AE3D7C">
        <w:rPr>
          <w:rFonts w:asciiTheme="minorHAnsi" w:hAnsiTheme="minorHAnsi" w:cstheme="minorHAnsi"/>
          <w:snapToGrid w:val="0"/>
          <w:sz w:val="22"/>
          <w:szCs w:val="22"/>
        </w:rPr>
        <w:t>nstalaci a konfiguraci techniky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E96635" w14:textId="26279E28" w:rsidR="00040C31" w:rsidRPr="00A00554" w:rsidRDefault="00E152E2" w:rsidP="00A00554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AE3D7C">
        <w:rPr>
          <w:rFonts w:asciiTheme="minorHAnsi" w:hAnsiTheme="minorHAnsi" w:cstheme="minorHAnsi"/>
          <w:snapToGrid w:val="0"/>
          <w:sz w:val="22"/>
          <w:szCs w:val="22"/>
        </w:rPr>
        <w:t xml:space="preserve">ropojení techniky včetně kabeláže </w:t>
      </w:r>
      <w:proofErr w:type="gramStart"/>
      <w:r w:rsidR="00AE3D7C">
        <w:rPr>
          <w:rFonts w:asciiTheme="minorHAnsi" w:hAnsiTheme="minorHAnsi" w:cstheme="minorHAnsi"/>
          <w:snapToGrid w:val="0"/>
          <w:sz w:val="22"/>
          <w:szCs w:val="22"/>
        </w:rPr>
        <w:t>( vyjma</w:t>
      </w:r>
      <w:proofErr w:type="gramEnd"/>
      <w:r w:rsidR="00AE3D7C">
        <w:rPr>
          <w:rFonts w:asciiTheme="minorHAnsi" w:hAnsiTheme="minorHAnsi" w:cstheme="minorHAnsi"/>
          <w:snapToGrid w:val="0"/>
          <w:sz w:val="22"/>
          <w:szCs w:val="22"/>
        </w:rPr>
        <w:t xml:space="preserve"> silové elektroinstalace )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26E9B4D" w14:textId="4E94B8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odpad vzniklý během realizace </w:t>
      </w:r>
      <w:r w:rsidR="00AE3D7C">
        <w:rPr>
          <w:rFonts w:asciiTheme="minorHAnsi" w:hAnsiTheme="minorHAnsi" w:cstheme="minorHAnsi"/>
          <w:snapToGrid w:val="0"/>
          <w:sz w:val="22"/>
          <w:szCs w:val="22"/>
        </w:rPr>
        <w:t>Díla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02C35E41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zajištění a provedení všech opatření organizačního a </w:t>
      </w:r>
      <w:r w:rsidR="00AE3D7C">
        <w:rPr>
          <w:rFonts w:asciiTheme="minorHAnsi" w:hAnsiTheme="minorHAnsi" w:cstheme="minorHAnsi"/>
          <w:snapToGrid w:val="0"/>
          <w:sz w:val="22"/>
          <w:szCs w:val="22"/>
        </w:rPr>
        <w:t>c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5B5E271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AE3D7C">
        <w:rPr>
          <w:rFonts w:asciiTheme="minorHAnsi" w:hAnsiTheme="minorHAnsi" w:cstheme="minorHAnsi"/>
          <w:snapToGrid w:val="0"/>
          <w:sz w:val="22"/>
          <w:szCs w:val="22"/>
        </w:rPr>
        <w:t>realizací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FBDE16A" w14:textId="53FE0D7C" w:rsidR="00AE3D7C" w:rsidRDefault="00B76091" w:rsidP="00AE3D7C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AE3D7C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6162015" w14:textId="36ADAC75" w:rsidR="00C9725E" w:rsidRPr="00AE3D7C" w:rsidRDefault="00C9725E" w:rsidP="00AE3D7C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E3D7C">
        <w:rPr>
          <w:rFonts w:asciiTheme="minorHAnsi" w:hAnsiTheme="minorHAnsi" w:cstheme="minorHAnsi"/>
          <w:snapToGrid w:val="0"/>
          <w:sz w:val="22"/>
          <w:szCs w:val="22"/>
        </w:rPr>
        <w:t>provádět veškeré montážní práce pouze osobami, které mají pro t</w:t>
      </w:r>
      <w:r w:rsidR="00E552E7" w:rsidRPr="00AE3D7C">
        <w:rPr>
          <w:rFonts w:asciiTheme="minorHAnsi" w:hAnsiTheme="minorHAnsi" w:cstheme="minorHAnsi"/>
          <w:snapToGrid w:val="0"/>
          <w:sz w:val="22"/>
          <w:szCs w:val="22"/>
        </w:rPr>
        <w:t>y</w:t>
      </w:r>
      <w:r w:rsidRPr="00AE3D7C">
        <w:rPr>
          <w:rFonts w:asciiTheme="minorHAnsi" w:hAnsiTheme="minorHAnsi" w:cstheme="minorHAnsi"/>
          <w:snapToGrid w:val="0"/>
          <w:sz w:val="22"/>
          <w:szCs w:val="22"/>
        </w:rPr>
        <w:t xml:space="preserve">to činnosti potřebné osvědčení nebo oprávnění.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72979ECD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="00E152E2">
        <w:rPr>
          <w:rFonts w:asciiTheme="minorHAnsi" w:hAnsiTheme="minorHAnsi" w:cstheme="minorHAnsi"/>
          <w:sz w:val="22"/>
          <w:szCs w:val="22"/>
        </w:rPr>
        <w:t>realizaci díla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21243B4" w14:textId="77777777" w:rsidR="00AE3D7C" w:rsidRPr="002C699D" w:rsidRDefault="00AE3D7C" w:rsidP="00AE3D7C">
      <w:pPr>
        <w:pStyle w:val="Odstavecseseznamem"/>
        <w:widowControl w:val="0"/>
        <w:spacing w:after="120" w:line="252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1"/>
    </w:p>
    <w:p w14:paraId="30DB6995" w14:textId="27B4C6AC" w:rsidR="00AE3D7C" w:rsidRPr="00B1348E" w:rsidRDefault="00AE3D7C" w:rsidP="00AE3D7C">
      <w:pPr>
        <w:pStyle w:val="Zkladntext"/>
        <w:widowControl w:val="0"/>
        <w:numPr>
          <w:ilvl w:val="0"/>
          <w:numId w:val="18"/>
        </w:numPr>
        <w:tabs>
          <w:tab w:val="clear" w:pos="705"/>
          <w:tab w:val="num" w:pos="396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realizace: 18. - 29</w:t>
      </w:r>
      <w:r w:rsidRPr="00B1348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B1348E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5.</w:t>
      </w:r>
    </w:p>
    <w:p w14:paraId="6C6E33DF" w14:textId="2815A9C9" w:rsidR="00AE3D7C" w:rsidRPr="006E6A5D" w:rsidRDefault="00AE3D7C" w:rsidP="00AE3D7C">
      <w:pPr>
        <w:pStyle w:val="Zkladntext"/>
        <w:widowControl w:val="0"/>
        <w:numPr>
          <w:ilvl w:val="0"/>
          <w:numId w:val="18"/>
        </w:numPr>
        <w:tabs>
          <w:tab w:val="clear" w:pos="705"/>
          <w:tab w:val="num" w:pos="396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E6A5D">
        <w:rPr>
          <w:rFonts w:asciiTheme="minorHAnsi" w:hAnsiTheme="minorHAnsi" w:cstheme="minorHAnsi"/>
          <w:sz w:val="22"/>
          <w:szCs w:val="22"/>
        </w:rPr>
        <w:t xml:space="preserve">Zhotovitel je oprávněn dílo na místě plnění realizovat denně </w:t>
      </w:r>
      <w:r w:rsidR="00177BC1">
        <w:rPr>
          <w:rFonts w:asciiTheme="minorHAnsi" w:hAnsiTheme="minorHAnsi" w:cstheme="minorHAnsi"/>
          <w:sz w:val="22"/>
          <w:szCs w:val="22"/>
        </w:rPr>
        <w:t xml:space="preserve">v pracovní dny </w:t>
      </w:r>
      <w:r w:rsidRPr="006E6A5D">
        <w:rPr>
          <w:rFonts w:asciiTheme="minorHAnsi" w:hAnsiTheme="minorHAnsi" w:cstheme="minorHAnsi"/>
          <w:sz w:val="22"/>
          <w:szCs w:val="22"/>
        </w:rPr>
        <w:t>v době od 6.00 do 18.00 hodin.</w:t>
      </w:r>
    </w:p>
    <w:p w14:paraId="164B586A" w14:textId="45D25388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2" w:name="_Ref68611896"/>
      <w:r w:rsidRPr="002C699D">
        <w:rPr>
          <w:rFonts w:cstheme="minorHAnsi"/>
          <w:szCs w:val="22"/>
        </w:rPr>
        <w:t>PRÁVA A POVINNOSTI ZHOTOVITELE</w:t>
      </w:r>
      <w:bookmarkEnd w:id="12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3" w:name="_Ref20919205"/>
      <w:r w:rsidRPr="002C699D">
        <w:rPr>
          <w:rFonts w:cstheme="minorHAnsi"/>
          <w:szCs w:val="22"/>
        </w:rPr>
        <w:t>CENA DÍLA</w:t>
      </w:r>
      <w:bookmarkEnd w:id="13"/>
    </w:p>
    <w:p w14:paraId="1891EF0F" w14:textId="418B82FC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2235EBC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jednaná cena Díla obsahuje veškeré náklady 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lastRenderedPageBreak/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4" w:name="_Ref70940551"/>
      <w:r w:rsidRPr="002C699D">
        <w:rPr>
          <w:rFonts w:cstheme="minorHAnsi"/>
          <w:szCs w:val="22"/>
        </w:rPr>
        <w:t>PLATEBNÍ PODMÍNKY</w:t>
      </w:r>
      <w:bookmarkEnd w:id="14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5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5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em. Záruční doba se staví po dobu,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16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17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17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</w:t>
      </w:r>
      <w:r w:rsidRPr="002D0451">
        <w:rPr>
          <w:rFonts w:asciiTheme="minorHAnsi" w:hAnsiTheme="minorHAnsi" w:cstheme="minorHAnsi"/>
          <w:sz w:val="22"/>
          <w:szCs w:val="22"/>
        </w:rPr>
        <w:lastRenderedPageBreak/>
        <w:t>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18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19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0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2C84E5C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  <w:tc>
          <w:tcPr>
            <w:tcW w:w="2152" w:type="dxa"/>
          </w:tcPr>
          <w:p w14:paraId="1F9191B6" w14:textId="4130002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1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1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D7FB15" w14:textId="77777777" w:rsidR="000174AC" w:rsidRDefault="000174AC" w:rsidP="000174AC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0DD37A2D" w14:textId="45FDE58C" w:rsidR="00ED0669" w:rsidRPr="002C699D" w:rsidRDefault="0051715A" w:rsidP="000174AC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1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0174AC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7A771B" w14:textId="0A0E6034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bookmarkStart w:id="22" w:name="_Hlk67036723"/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2"/>
    <w:p w14:paraId="27C49F2F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4671C7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8879C5C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058667B1" w14:textId="77777777" w:rsidR="00D1318D" w:rsidRPr="001062B8" w:rsidRDefault="00D1318D" w:rsidP="00D1318D">
      <w:pPr>
        <w:pStyle w:val="Smlouva-slo"/>
        <w:spacing w:before="0" w:after="120" w:line="264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BFD2DAC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ACE1B1E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C9EE278" w14:textId="77777777" w:rsidR="006A47F4" w:rsidRPr="001062B8" w:rsidRDefault="006A47F4" w:rsidP="006A47F4">
      <w:pPr>
        <w:spacing w:after="120" w:line="264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23D3" w14:textId="77777777" w:rsidR="006546B2" w:rsidRDefault="006546B2">
      <w:r>
        <w:separator/>
      </w:r>
    </w:p>
  </w:endnote>
  <w:endnote w:type="continuationSeparator" w:id="0">
    <w:p w14:paraId="50693CAC" w14:textId="77777777" w:rsidR="006546B2" w:rsidRDefault="0065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35AE" w14:textId="77777777" w:rsidR="006546B2" w:rsidRDefault="006546B2">
      <w:r>
        <w:separator/>
      </w:r>
    </w:p>
  </w:footnote>
  <w:footnote w:type="continuationSeparator" w:id="0">
    <w:p w14:paraId="25E17FA0" w14:textId="77777777" w:rsidR="006546B2" w:rsidRDefault="0065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66C1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77BC1"/>
    <w:rsid w:val="0018015B"/>
    <w:rsid w:val="00183021"/>
    <w:rsid w:val="00185261"/>
    <w:rsid w:val="00185EC9"/>
    <w:rsid w:val="00186A11"/>
    <w:rsid w:val="00192FE5"/>
    <w:rsid w:val="00193549"/>
    <w:rsid w:val="00197247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1472"/>
    <w:rsid w:val="001F2F78"/>
    <w:rsid w:val="001F6953"/>
    <w:rsid w:val="002008E8"/>
    <w:rsid w:val="002059E3"/>
    <w:rsid w:val="00207AF8"/>
    <w:rsid w:val="00207BB9"/>
    <w:rsid w:val="002109CD"/>
    <w:rsid w:val="00212E12"/>
    <w:rsid w:val="00215A24"/>
    <w:rsid w:val="00216B9C"/>
    <w:rsid w:val="002221F2"/>
    <w:rsid w:val="002235B7"/>
    <w:rsid w:val="0022576E"/>
    <w:rsid w:val="002374F6"/>
    <w:rsid w:val="00237770"/>
    <w:rsid w:val="00237E80"/>
    <w:rsid w:val="002404BF"/>
    <w:rsid w:val="002448C1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274BA"/>
    <w:rsid w:val="0033262B"/>
    <w:rsid w:val="0033267A"/>
    <w:rsid w:val="0033406D"/>
    <w:rsid w:val="003410F4"/>
    <w:rsid w:val="00343E71"/>
    <w:rsid w:val="00347F11"/>
    <w:rsid w:val="0035331D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1E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483"/>
    <w:rsid w:val="00446963"/>
    <w:rsid w:val="004516C2"/>
    <w:rsid w:val="004527BF"/>
    <w:rsid w:val="00452E0F"/>
    <w:rsid w:val="00454C86"/>
    <w:rsid w:val="00455D4A"/>
    <w:rsid w:val="004560E9"/>
    <w:rsid w:val="0045631E"/>
    <w:rsid w:val="00456D07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655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A16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6C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46B2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860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0554"/>
    <w:rsid w:val="00A01C04"/>
    <w:rsid w:val="00A05A1B"/>
    <w:rsid w:val="00A06081"/>
    <w:rsid w:val="00A1041E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3D7C"/>
    <w:rsid w:val="00AE5292"/>
    <w:rsid w:val="00AE7C80"/>
    <w:rsid w:val="00AF065E"/>
    <w:rsid w:val="00AF1498"/>
    <w:rsid w:val="00AF2C71"/>
    <w:rsid w:val="00B00579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166"/>
    <w:rsid w:val="00B273F4"/>
    <w:rsid w:val="00B27D9A"/>
    <w:rsid w:val="00B3222F"/>
    <w:rsid w:val="00B337EF"/>
    <w:rsid w:val="00B37445"/>
    <w:rsid w:val="00B42717"/>
    <w:rsid w:val="00B47262"/>
    <w:rsid w:val="00B5005E"/>
    <w:rsid w:val="00B525F5"/>
    <w:rsid w:val="00B54C8F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4A06"/>
    <w:rsid w:val="00C32A2F"/>
    <w:rsid w:val="00C33B92"/>
    <w:rsid w:val="00C3565B"/>
    <w:rsid w:val="00C35E6F"/>
    <w:rsid w:val="00C3658E"/>
    <w:rsid w:val="00C367AA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19A6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52E2"/>
    <w:rsid w:val="00E1645D"/>
    <w:rsid w:val="00E17E53"/>
    <w:rsid w:val="00E232E7"/>
    <w:rsid w:val="00E24E9A"/>
    <w:rsid w:val="00E2501E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67C4F"/>
    <w:rsid w:val="00E70EFA"/>
    <w:rsid w:val="00E725FD"/>
    <w:rsid w:val="00E73F87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5363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5D79"/>
    <w:rsid w:val="00ED6B77"/>
    <w:rsid w:val="00ED7A7C"/>
    <w:rsid w:val="00EE0819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3677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Zouhar Lukáš</cp:lastModifiedBy>
  <cp:revision>2</cp:revision>
  <cp:lastPrinted>2020-06-18T10:27:00Z</cp:lastPrinted>
  <dcterms:created xsi:type="dcterms:W3CDTF">2025-05-22T07:11:00Z</dcterms:created>
  <dcterms:modified xsi:type="dcterms:W3CDTF">2025-05-22T07:11:00Z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