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C5" w:rsidRPr="002305C5" w:rsidRDefault="002305C5" w:rsidP="002305C5">
      <w:pPr>
        <w:rPr>
          <w:rFonts w:eastAsia="Times New Roman"/>
          <w:color w:val="000000"/>
          <w:lang w:eastAsia="cs-CZ"/>
        </w:rPr>
      </w:pPr>
      <w:r w:rsidRPr="002305C5">
        <w:rPr>
          <w:rFonts w:eastAsia="Times New Roman"/>
          <w:color w:val="000000"/>
          <w:lang w:eastAsia="cs-CZ"/>
        </w:rPr>
        <w:t>  </w:t>
      </w:r>
    </w:p>
    <w:p w:rsidR="002305C5" w:rsidRPr="002305C5" w:rsidRDefault="002305C5" w:rsidP="002305C5">
      <w:pPr>
        <w:widowControl/>
        <w:autoSpaceDE/>
        <w:autoSpaceDN/>
        <w:rPr>
          <w:rFonts w:eastAsia="Times New Roman"/>
          <w:color w:val="000000"/>
          <w:lang w:eastAsia="cs-CZ"/>
        </w:rPr>
      </w:pPr>
      <w:r w:rsidRPr="002305C5">
        <w:rPr>
          <w:rFonts w:eastAsia="Times New Roman"/>
          <w:color w:val="000000"/>
          <w:lang w:eastAsia="cs-CZ"/>
        </w:rPr>
        <w:t> </w:t>
      </w:r>
    </w:p>
    <w:p w:rsidR="002305C5" w:rsidRPr="00CC5A5F" w:rsidRDefault="002305C5" w:rsidP="002305C5">
      <w:pPr>
        <w:widowControl/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305C5">
        <w:rPr>
          <w:rFonts w:eastAsia="Times New Roman"/>
          <w:color w:val="000000"/>
          <w:lang w:eastAsia="cs-CZ"/>
        </w:rPr>
        <w:t> </w:t>
      </w:r>
      <w:r w:rsidRPr="00CC5A5F">
        <w:rPr>
          <w:rFonts w:ascii="Calibri" w:eastAsia="Calibri" w:hAnsi="Calibri" w:cs="Calibri"/>
          <w:b/>
          <w:bCs/>
          <w:sz w:val="28"/>
          <w:szCs w:val="28"/>
        </w:rPr>
        <w:t>ZADÁVACÍ DOKUMENTACE</w:t>
      </w:r>
    </w:p>
    <w:p w:rsidR="002305C5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Nemocnice Ivančice, příspěvková organizace, dále také „zadavatel“ vyhlašuje výběrové řízení na realizaci veřejné zakázky malého rozsahu</w:t>
      </w:r>
      <w:r>
        <w:rPr>
          <w:rFonts w:ascii="Calibri" w:eastAsia="Calibri" w:hAnsi="Calibri" w:cs="Calibri"/>
        </w:rPr>
        <w:t xml:space="preserve"> s názvem</w:t>
      </w:r>
    </w:p>
    <w:p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:rsidR="002305C5" w:rsidRPr="002305C5" w:rsidRDefault="002305C5" w:rsidP="002305C5">
      <w:pPr>
        <w:widowControl/>
        <w:spacing w:line="36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305C5">
        <w:rPr>
          <w:rFonts w:ascii="Calibri" w:eastAsia="Calibri" w:hAnsi="Calibri" w:cs="Calibri"/>
          <w:b/>
          <w:sz w:val="28"/>
          <w:szCs w:val="28"/>
        </w:rPr>
        <w:t>„SIPPING“</w:t>
      </w:r>
    </w:p>
    <w:p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  <w:b/>
        </w:rPr>
      </w:pPr>
    </w:p>
    <w:p w:rsidR="002305C5" w:rsidRPr="00087152" w:rsidRDefault="002305C5" w:rsidP="002305C5">
      <w:pPr>
        <w:pStyle w:val="Styl1"/>
      </w:pPr>
      <w:r w:rsidRPr="00087152">
        <w:t>Úvodní ustanovení</w:t>
      </w:r>
    </w:p>
    <w:p w:rsidR="002305C5" w:rsidRPr="00C67DE1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C67DE1">
        <w:rPr>
          <w:rFonts w:ascii="Calibri" w:eastAsia="Calibri" w:hAnsi="Calibri" w:cs="Calibri"/>
        </w:rPr>
        <w:t>Tato veřejná zakázka je zadávána elektronicky pomocí elektronického nástroje ProEbiz</w:t>
      </w:r>
    </w:p>
    <w:p w:rsidR="002305C5" w:rsidRPr="00C67DE1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C67DE1">
        <w:rPr>
          <w:rFonts w:ascii="Calibri" w:eastAsia="Calibri" w:hAnsi="Calibri" w:cs="Calibri"/>
        </w:rPr>
        <w:t xml:space="preserve">Veškeré informace týkající se výběrového řízení jsou k dispozici na adrese </w:t>
      </w:r>
      <w:hyperlink r:id="rId7" w:history="1">
        <w:r w:rsidRPr="00C67DE1">
          <w:rPr>
            <w:rFonts w:ascii="Calibri" w:eastAsia="Calibri" w:hAnsi="Calibri" w:cs="Calibri"/>
            <w:color w:val="0000FF"/>
            <w:u w:val="single"/>
          </w:rPr>
          <w:t>http://nspiv.proebiz.com/vstup/aukce_seznam.php</w:t>
        </w:r>
      </w:hyperlink>
    </w:p>
    <w:p w:rsidR="002305C5" w:rsidRPr="00C67DE1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C67DE1">
        <w:rPr>
          <w:rFonts w:ascii="Calibri" w:eastAsia="Calibri" w:hAnsi="Calibri" w:cs="Calibri"/>
        </w:rPr>
        <w:t xml:space="preserve">Veřejná zakázka bude zadána v souladu s ustanovením § 6 a s § 31 Zákona č. 134/2016 Sb., o zadávání veřejných zakázek ve znění pozdějších předpisů, dále také „Zákon“ a je zveřejněna na profilu zadavatele </w:t>
      </w:r>
      <w:hyperlink r:id="rId8" w:history="1">
        <w:r w:rsidRPr="00C67DE1">
          <w:rPr>
            <w:rFonts w:ascii="Calibri" w:eastAsia="Calibri" w:hAnsi="Calibri" w:cs="Calibri"/>
            <w:color w:val="0000FF"/>
            <w:u w:val="single"/>
          </w:rPr>
          <w:t>https://zakazky.krajbezkorupce.cz/profile_display_112.html</w:t>
        </w:r>
      </w:hyperlink>
    </w:p>
    <w:p w:rsidR="002305C5" w:rsidRPr="00CC5A5F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</w:p>
    <w:p w:rsidR="002305C5" w:rsidRPr="00CC5A5F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Zadávací dokumentace je zpracována jako podklad pro podání nabídek.</w:t>
      </w:r>
    </w:p>
    <w:p w:rsidR="002305C5" w:rsidRPr="00CC5A5F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Podáním nabídky v zadávacím řízení přijímá účastník plně a bez výhrad zadávací podmínky</w:t>
      </w:r>
    </w:p>
    <w:p w:rsidR="002305C5" w:rsidRPr="00CC5A5F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 xml:space="preserve">obsažené v této zadávací dokumentaci. </w:t>
      </w:r>
    </w:p>
    <w:p w:rsidR="002305C5" w:rsidRPr="00CC5A5F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 xml:space="preserve">Předpokládá se, že účastník před podáním nabídky pečlivě prostuduje všechny pokyny, podmínky, termíny a specifikace obsažené v zadávací dokumentaci a bude se jimi řídit. Pokud účastník neposkytne včas všechny požadované informace a požadovanou dokumentaci nebo pokud jeho nabídka nebude odpovídat zadávacím podmínkám, může to mít za následek vyřazení jeho nabídky a následné vyloučení účastníka ze zadávacího řízení. Zadavatel uplatňuje odpovědné zadávání veřejných zakázek v souladu se svým posláním poskytovatele zdravotních služeb. </w:t>
      </w:r>
    </w:p>
    <w:p w:rsidR="002305C5" w:rsidRPr="00CC5A5F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Zadávací řízení na veřejné zakázky zadavatele zohledňují témata v oblasti vlivu předmětu veřejné zakázky na sociální důsledky, životní prostředí, hospodářské oblasti a inovace v souladu s § 6 odst. 4 Zákona.</w:t>
      </w:r>
    </w:p>
    <w:p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:rsidR="002305C5" w:rsidRPr="00E73944" w:rsidRDefault="002305C5" w:rsidP="002305C5">
      <w:pPr>
        <w:pStyle w:val="Styl1"/>
      </w:pPr>
      <w:r w:rsidRPr="00E73944">
        <w:t>Údaje o zadavateli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Zadavatel: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Nemocnice Ivančice, příspěvková organizace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Sídlo: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Široká 390/16, 664 91 Ivančice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Statutární orgán:</w:t>
      </w:r>
      <w:r w:rsidRPr="00E73944">
        <w:rPr>
          <w:rFonts w:ascii="Calibri" w:eastAsia="Calibri" w:hAnsi="Calibri" w:cs="Calibri"/>
        </w:rPr>
        <w:tab/>
        <w:t>MUDr. Martin Pavlík, Ph.D</w:t>
      </w:r>
      <w:r w:rsidR="00CD3979">
        <w:rPr>
          <w:rFonts w:ascii="Calibri" w:eastAsia="Calibri" w:hAnsi="Calibri" w:cs="Calibri"/>
        </w:rPr>
        <w:t>.</w:t>
      </w:r>
      <w:r w:rsidRPr="00E73944">
        <w:rPr>
          <w:rFonts w:ascii="Calibri" w:eastAsia="Calibri" w:hAnsi="Calibri" w:cs="Calibri"/>
        </w:rPr>
        <w:t>, EDIC, DESA, ředitel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IČ: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00225827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DIČ:</w:t>
      </w:r>
      <w:r w:rsidRPr="00E73944">
        <w:rPr>
          <w:rFonts w:ascii="Calibri" w:eastAsia="Calibri" w:hAnsi="Calibri" w:cs="Calibri"/>
        </w:rPr>
        <w:tab/>
        <w:t xml:space="preserve">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CZ00225827</w:t>
      </w:r>
    </w:p>
    <w:p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Kontaktní osoba pro výběrové řízení: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Bc. Zdeněk Morávek, </w:t>
      </w:r>
      <w:r w:rsidR="00CD3979">
        <w:rPr>
          <w:rFonts w:ascii="Calibri" w:eastAsia="Calibri" w:hAnsi="Calibri" w:cs="Calibri"/>
        </w:rPr>
        <w:t>náměstek pro ekonomiku a obchod</w:t>
      </w:r>
      <w:r w:rsidRPr="00E73944">
        <w:rPr>
          <w:rFonts w:ascii="Calibri" w:eastAsia="Calibri" w:hAnsi="Calibri" w:cs="Calibri"/>
        </w:rPr>
        <w:t xml:space="preserve">, 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tel.: 546 439 419, 604 583 109, e-mail: </w:t>
      </w:r>
      <w:hyperlink r:id="rId9" w:history="1">
        <w:r w:rsidRPr="00E73944">
          <w:rPr>
            <w:rFonts w:ascii="Calibri" w:eastAsia="Calibri" w:hAnsi="Calibri" w:cs="Calibri"/>
            <w:color w:val="0000FF"/>
            <w:u w:val="single"/>
          </w:rPr>
          <w:t>moravek@nemiv.cz</w:t>
        </w:r>
      </w:hyperlink>
    </w:p>
    <w:p w:rsidR="00CD3979" w:rsidRDefault="00CD3979" w:rsidP="002305C5">
      <w:pPr>
        <w:widowControl/>
        <w:spacing w:line="276" w:lineRule="auto"/>
        <w:rPr>
          <w:rFonts w:ascii="Calibri" w:eastAsia="Calibri" w:hAnsi="Calibri" w:cs="Calibri"/>
        </w:rPr>
      </w:pPr>
    </w:p>
    <w:p w:rsidR="00CD3979" w:rsidRDefault="00CD3979" w:rsidP="002305C5">
      <w:pPr>
        <w:widowControl/>
        <w:spacing w:line="276" w:lineRule="auto"/>
        <w:rPr>
          <w:rFonts w:ascii="Calibri" w:eastAsia="Calibri" w:hAnsi="Calibri" w:cs="Calibri"/>
        </w:rPr>
      </w:pP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Kontaktní osoba pro předmět veřejné zakázky: 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Mgr. Hana Chytková, vedoucí lékárny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tel.: 546 439 439, e-mail: </w:t>
      </w:r>
      <w:hyperlink r:id="rId10" w:history="1">
        <w:r w:rsidRPr="00E73944">
          <w:rPr>
            <w:rFonts w:ascii="Calibri" w:eastAsia="Calibri" w:hAnsi="Calibri" w:cs="Calibri"/>
            <w:color w:val="0000FF"/>
            <w:u w:val="single"/>
          </w:rPr>
          <w:t>chytkova@nemiv.cz</w:t>
        </w:r>
      </w:hyperlink>
    </w:p>
    <w:p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:rsidR="002305C5" w:rsidRPr="00E73944" w:rsidRDefault="002305C5" w:rsidP="002305C5">
      <w:pPr>
        <w:pStyle w:val="Styl1"/>
        <w:tabs>
          <w:tab w:val="left" w:pos="426"/>
        </w:tabs>
        <w:spacing w:line="276" w:lineRule="auto"/>
        <w:ind w:left="0" w:firstLine="0"/>
      </w:pPr>
      <w:r w:rsidRPr="00E73944">
        <w:t>Vymezení předmětu veřejné zakázky, zadávací podmínky</w:t>
      </w:r>
      <w:r w:rsidRPr="00E73944">
        <w:br/>
      </w:r>
      <w:r w:rsidRPr="00087152">
        <w:rPr>
          <w:b w:val="0"/>
          <w:bCs/>
        </w:rPr>
        <w:t>Předmětem veřejné zakázky je:</w:t>
      </w:r>
    </w:p>
    <w:p w:rsidR="002305C5" w:rsidRPr="00E73944" w:rsidRDefault="002305C5" w:rsidP="002305C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průběžné dodávání</w:t>
      </w:r>
      <w:r w:rsidR="00F56FBC">
        <w:rPr>
          <w:rFonts w:ascii="Calibri" w:eastAsia="Calibri" w:hAnsi="Calibri" w:cs="Calibri"/>
        </w:rPr>
        <w:t xml:space="preserve"> nutričních</w:t>
      </w:r>
      <w:r w:rsidRPr="00E73944">
        <w:rPr>
          <w:rFonts w:ascii="Calibri" w:eastAsia="Calibri" w:hAnsi="Calibri" w:cs="Calibri"/>
        </w:rPr>
        <w:t xml:space="preserve"> </w:t>
      </w:r>
      <w:r w:rsidR="00A457FD">
        <w:rPr>
          <w:rFonts w:ascii="Calibri" w:eastAsia="Calibri" w:hAnsi="Calibri" w:cs="Calibri"/>
        </w:rPr>
        <w:t>přípravků skupiny ATC</w:t>
      </w:r>
      <w:r w:rsidRPr="00217D1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V06XX</w:t>
      </w:r>
      <w:r w:rsidRPr="00217D1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–</w:t>
      </w:r>
      <w:r w:rsidRPr="00217D1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potravin</w:t>
      </w:r>
      <w:r w:rsidR="00F56FBC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pro zvláštní lékařské účely - SIPPING </w:t>
      </w:r>
      <w:r w:rsidRPr="00E73944">
        <w:rPr>
          <w:rFonts w:ascii="Calibri" w:eastAsia="Calibri" w:hAnsi="Calibri" w:cs="Calibri"/>
        </w:rPr>
        <w:t>po dobu účinnosti rámcové kupní smlouvy na základě jednotlivých objednávek;</w:t>
      </w:r>
    </w:p>
    <w:p w:rsidR="002305C5" w:rsidRPr="00E73944" w:rsidRDefault="002305C5" w:rsidP="002305C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rámcová kupní smlouvy bude uzavřena na </w:t>
      </w:r>
      <w:r>
        <w:rPr>
          <w:rFonts w:ascii="Calibri" w:eastAsia="Calibri" w:hAnsi="Calibri" w:cs="Calibri"/>
        </w:rPr>
        <w:t>48</w:t>
      </w:r>
      <w:r w:rsidRPr="00E73944">
        <w:rPr>
          <w:rFonts w:ascii="Calibri" w:eastAsia="Calibri" w:hAnsi="Calibri" w:cs="Calibri"/>
        </w:rPr>
        <w:t xml:space="preserve"> měsíců;</w:t>
      </w:r>
    </w:p>
    <w:p w:rsidR="002305C5" w:rsidRPr="00E73944" w:rsidRDefault="002305C5" w:rsidP="002305C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kód CPV (společný slovník pro veřejné zakázky): </w:t>
      </w:r>
    </w:p>
    <w:p w:rsidR="002305C5" w:rsidRDefault="002305C5" w:rsidP="002305C5">
      <w:pPr>
        <w:widowControl/>
        <w:spacing w:line="276" w:lineRule="auto"/>
        <w:ind w:left="284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33600000-6</w:t>
      </w:r>
      <w:r w:rsidRPr="00E73944">
        <w:rPr>
          <w:rFonts w:ascii="Calibri" w:eastAsia="Calibri" w:hAnsi="Calibri" w:cs="Calibri"/>
        </w:rPr>
        <w:tab/>
        <w:t>Léčivé přípravky a zdravotnické prostředky</w:t>
      </w:r>
    </w:p>
    <w:p w:rsidR="002305C5" w:rsidRPr="00E73944" w:rsidRDefault="002305C5" w:rsidP="002305C5">
      <w:pPr>
        <w:widowControl/>
        <w:spacing w:line="276" w:lineRule="auto"/>
        <w:ind w:left="284"/>
        <w:contextualSpacing/>
        <w:rPr>
          <w:rFonts w:ascii="Calibri" w:eastAsia="Calibri" w:hAnsi="Calibri" w:cs="Calibri"/>
        </w:rPr>
      </w:pPr>
    </w:p>
    <w:tbl>
      <w:tblPr>
        <w:tblStyle w:val="Mkatabulky2"/>
        <w:tblW w:w="8901" w:type="dxa"/>
        <w:tblInd w:w="279" w:type="dxa"/>
        <w:tblLook w:val="04A0"/>
      </w:tblPr>
      <w:tblGrid>
        <w:gridCol w:w="4082"/>
        <w:gridCol w:w="2126"/>
        <w:gridCol w:w="2693"/>
      </w:tblGrid>
      <w:tr w:rsidR="002305C5" w:rsidRPr="00E73944" w:rsidTr="00331187">
        <w:trPr>
          <w:cantSplit/>
          <w:trHeight w:hRule="exact" w:val="624"/>
        </w:trPr>
        <w:tc>
          <w:tcPr>
            <w:tcW w:w="4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5C5" w:rsidRPr="0031487C" w:rsidRDefault="002305C5" w:rsidP="0032666F">
            <w:pPr>
              <w:widowControl/>
              <w:contextualSpacing/>
              <w:rPr>
                <w:rFonts w:ascii="Calibri" w:eastAsia="Calibri" w:hAnsi="Calibri" w:cs="Calibri"/>
                <w:b/>
                <w:lang w:eastAsia="en-US"/>
              </w:rPr>
            </w:pPr>
            <w:r w:rsidRPr="0031487C">
              <w:rPr>
                <w:rFonts w:ascii="Calibri" w:eastAsia="Calibri" w:hAnsi="Calibri" w:cs="Calibri"/>
                <w:b/>
                <w:lang w:eastAsia="en-US"/>
              </w:rPr>
              <w:t>položka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5C5" w:rsidRPr="0031487C" w:rsidRDefault="002305C5" w:rsidP="0032666F">
            <w:pPr>
              <w:widowControl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31487C">
              <w:rPr>
                <w:rFonts w:ascii="Calibri" w:eastAsia="Calibri" w:hAnsi="Calibri" w:cs="Calibri"/>
                <w:b/>
                <w:lang w:eastAsia="en-US"/>
              </w:rPr>
              <w:t>MJ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5C5" w:rsidRPr="0031487C" w:rsidRDefault="002305C5" w:rsidP="0032666F">
            <w:pPr>
              <w:widowControl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31487C">
              <w:rPr>
                <w:rFonts w:ascii="Calibri" w:eastAsia="Calibri" w:hAnsi="Calibri" w:cs="Calibri"/>
                <w:b/>
                <w:lang w:eastAsia="en-US"/>
              </w:rPr>
              <w:t>předpokládané množství MJ za 48 měsíců</w:t>
            </w:r>
          </w:p>
        </w:tc>
      </w:tr>
      <w:tr w:rsidR="002305C5" w:rsidRPr="00E73944" w:rsidTr="00331187">
        <w:trPr>
          <w:cantSplit/>
          <w:trHeight w:hRule="exact" w:val="567"/>
        </w:trPr>
        <w:tc>
          <w:tcPr>
            <w:tcW w:w="40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5C5" w:rsidRPr="00E73944" w:rsidRDefault="00160FA0" w:rsidP="0032666F">
            <w:pPr>
              <w:widowControl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s</w:t>
            </w:r>
            <w:r w:rsidR="0031487C" w:rsidRPr="0031487C">
              <w:rPr>
                <w:rFonts w:ascii="Calibri" w:eastAsia="Calibri" w:hAnsi="Calibri" w:cs="Calibri"/>
                <w:lang w:eastAsia="en-US"/>
              </w:rPr>
              <w:t xml:space="preserve">ipping </w:t>
            </w:r>
            <w:proofErr w:type="spellStart"/>
            <w:r w:rsidR="0031487C" w:rsidRPr="0031487C">
              <w:rPr>
                <w:rFonts w:ascii="Calibri" w:eastAsia="Calibri" w:hAnsi="Calibri" w:cs="Calibri"/>
                <w:lang w:eastAsia="en-US"/>
              </w:rPr>
              <w:t>dia</w:t>
            </w:r>
            <w:proofErr w:type="spellEnd"/>
            <w:r w:rsidR="00331187"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5C5" w:rsidRPr="00E73944" w:rsidRDefault="004B7644" w:rsidP="0032666F">
            <w:pPr>
              <w:widowControl/>
              <w:contextualSpacing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ks (200</w:t>
            </w:r>
            <w:r w:rsidR="00331187">
              <w:rPr>
                <w:rFonts w:ascii="Calibri" w:eastAsia="Calibri" w:hAnsi="Calibri" w:cs="Calibri"/>
                <w:lang w:eastAsia="en-US"/>
              </w:rPr>
              <w:t>ml)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5C5" w:rsidRPr="00E73944" w:rsidRDefault="00331187" w:rsidP="0032666F">
            <w:pPr>
              <w:widowControl/>
              <w:contextualSpacing/>
              <w:jc w:val="right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6 832</w:t>
            </w:r>
          </w:p>
        </w:tc>
      </w:tr>
      <w:tr w:rsidR="002305C5" w:rsidRPr="00E73944" w:rsidTr="00331187">
        <w:trPr>
          <w:cantSplit/>
          <w:trHeight w:hRule="exact" w:val="567"/>
        </w:trPr>
        <w:tc>
          <w:tcPr>
            <w:tcW w:w="4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05C5" w:rsidRDefault="00160FA0" w:rsidP="0032666F">
            <w:pPr>
              <w:widowControl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31487C" w:rsidRPr="0031487C">
              <w:rPr>
                <w:rFonts w:ascii="Calibri" w:eastAsia="Calibri" w:hAnsi="Calibri" w:cs="Calibri"/>
              </w:rPr>
              <w:t>ipping bez obsahu tuku s vyšším obsahem bí</w:t>
            </w:r>
            <w:r w:rsidR="0031487C">
              <w:rPr>
                <w:rFonts w:ascii="Calibri" w:eastAsia="Calibri" w:hAnsi="Calibri" w:cs="Calibri"/>
              </w:rPr>
              <w:t>l</w:t>
            </w:r>
            <w:r w:rsidR="0031487C" w:rsidRPr="0031487C">
              <w:rPr>
                <w:rFonts w:ascii="Calibri" w:eastAsia="Calibri" w:hAnsi="Calibri" w:cs="Calibri"/>
              </w:rPr>
              <w:t>kovin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05C5" w:rsidRDefault="004B7644" w:rsidP="0032666F">
            <w:pPr>
              <w:widowControl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ks (200</w:t>
            </w:r>
            <w:r w:rsidR="00331187" w:rsidRPr="00331187">
              <w:rPr>
                <w:rFonts w:ascii="Calibri" w:eastAsia="Calibri" w:hAnsi="Calibri" w:cs="Calibri"/>
              </w:rPr>
              <w:t xml:space="preserve"> ml)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05C5" w:rsidRDefault="00331187" w:rsidP="0032666F">
            <w:pPr>
              <w:widowControl/>
              <w:contextualSpacing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3 440</w:t>
            </w:r>
          </w:p>
        </w:tc>
      </w:tr>
      <w:tr w:rsidR="002305C5" w:rsidRPr="00E73944" w:rsidTr="00331187">
        <w:trPr>
          <w:cantSplit/>
          <w:trHeight w:hRule="exact" w:val="567"/>
        </w:trPr>
        <w:tc>
          <w:tcPr>
            <w:tcW w:w="4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05C5" w:rsidRDefault="00160FA0" w:rsidP="0032666F">
            <w:pPr>
              <w:widowControl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31487C" w:rsidRPr="0031487C">
              <w:rPr>
                <w:rFonts w:ascii="Calibri" w:eastAsia="Calibri" w:hAnsi="Calibri" w:cs="Calibri"/>
              </w:rPr>
              <w:t xml:space="preserve">ipping při proleženinách s obsahem argininu nebo </w:t>
            </w:r>
            <w:proofErr w:type="spellStart"/>
            <w:r w:rsidR="0031487C" w:rsidRPr="0031487C">
              <w:rPr>
                <w:rFonts w:ascii="Calibri" w:eastAsia="Calibri" w:hAnsi="Calibri" w:cs="Calibri"/>
              </w:rPr>
              <w:t>CaHMB</w:t>
            </w:r>
            <w:proofErr w:type="spellEnd"/>
            <w:r w:rsidR="00E73C20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05C5" w:rsidRDefault="00331187" w:rsidP="0032666F">
            <w:pPr>
              <w:widowControl/>
              <w:contextualSpacing/>
              <w:jc w:val="center"/>
              <w:rPr>
                <w:rFonts w:ascii="Calibri" w:eastAsia="Calibri" w:hAnsi="Calibri" w:cs="Calibri"/>
              </w:rPr>
            </w:pPr>
            <w:r w:rsidRPr="00331187">
              <w:rPr>
                <w:rFonts w:ascii="Calibri" w:eastAsia="Calibri" w:hAnsi="Calibri" w:cs="Calibri"/>
              </w:rPr>
              <w:t>ks (</w:t>
            </w:r>
            <w:r w:rsidR="004B7644">
              <w:rPr>
                <w:rFonts w:ascii="Calibri" w:eastAsia="Calibri" w:hAnsi="Calibri" w:cs="Calibri"/>
              </w:rPr>
              <w:t xml:space="preserve">200 </w:t>
            </w:r>
            <w:r w:rsidRPr="00331187">
              <w:rPr>
                <w:rFonts w:ascii="Calibri" w:eastAsia="Calibri" w:hAnsi="Calibri" w:cs="Calibri"/>
              </w:rPr>
              <w:t>ml)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05C5" w:rsidRDefault="00331187" w:rsidP="0032666F">
            <w:pPr>
              <w:widowControl/>
              <w:contextualSpacing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8 000</w:t>
            </w:r>
          </w:p>
        </w:tc>
      </w:tr>
      <w:tr w:rsidR="0031487C" w:rsidRPr="00E73944" w:rsidTr="00331187">
        <w:trPr>
          <w:cantSplit/>
          <w:trHeight w:hRule="exact" w:val="567"/>
        </w:trPr>
        <w:tc>
          <w:tcPr>
            <w:tcW w:w="4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487C" w:rsidRPr="0031487C" w:rsidRDefault="00160FA0" w:rsidP="0032666F">
            <w:pPr>
              <w:widowControl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31487C" w:rsidRPr="0031487C">
              <w:rPr>
                <w:rFonts w:ascii="Calibri" w:eastAsia="Calibri" w:hAnsi="Calibri" w:cs="Calibri"/>
              </w:rPr>
              <w:t xml:space="preserve">ipping </w:t>
            </w:r>
            <w:proofErr w:type="spellStart"/>
            <w:r w:rsidR="0031487C" w:rsidRPr="0031487C">
              <w:rPr>
                <w:rFonts w:ascii="Calibri" w:eastAsia="Calibri" w:hAnsi="Calibri" w:cs="Calibri"/>
              </w:rPr>
              <w:t>hyperkalorický</w:t>
            </w:r>
            <w:proofErr w:type="spellEnd"/>
            <w:r w:rsidR="0031487C" w:rsidRPr="0031487C">
              <w:rPr>
                <w:rFonts w:ascii="Calibri" w:eastAsia="Calibri" w:hAnsi="Calibri" w:cs="Calibri"/>
              </w:rPr>
              <w:t xml:space="preserve"> se zvýšeným obsahem bílkovin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487C" w:rsidRDefault="00331187" w:rsidP="0032666F">
            <w:pPr>
              <w:widowControl/>
              <w:contextualSpacing/>
              <w:jc w:val="center"/>
              <w:rPr>
                <w:rFonts w:ascii="Calibri" w:eastAsia="Calibri" w:hAnsi="Calibri" w:cs="Calibri"/>
              </w:rPr>
            </w:pPr>
            <w:r w:rsidRPr="00331187">
              <w:rPr>
                <w:rFonts w:ascii="Calibri" w:eastAsia="Calibri" w:hAnsi="Calibri" w:cs="Calibri"/>
              </w:rPr>
              <w:t>ks (</w:t>
            </w:r>
            <w:r w:rsidR="004B7644">
              <w:rPr>
                <w:rFonts w:ascii="Calibri" w:eastAsia="Calibri" w:hAnsi="Calibri" w:cs="Calibri"/>
              </w:rPr>
              <w:t xml:space="preserve">125 </w:t>
            </w:r>
            <w:r w:rsidRPr="00331187">
              <w:rPr>
                <w:rFonts w:ascii="Calibri" w:eastAsia="Calibri" w:hAnsi="Calibri" w:cs="Calibri"/>
              </w:rPr>
              <w:t>ml)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487C" w:rsidRDefault="00331187" w:rsidP="0032666F">
            <w:pPr>
              <w:widowControl/>
              <w:contextualSpacing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23 312</w:t>
            </w:r>
          </w:p>
        </w:tc>
      </w:tr>
      <w:tr w:rsidR="0031487C" w:rsidRPr="00E73944" w:rsidTr="00331187">
        <w:trPr>
          <w:cantSplit/>
          <w:trHeight w:hRule="exact" w:val="567"/>
        </w:trPr>
        <w:tc>
          <w:tcPr>
            <w:tcW w:w="40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87C" w:rsidRPr="0031487C" w:rsidRDefault="00160FA0" w:rsidP="0032666F">
            <w:pPr>
              <w:widowControl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31487C" w:rsidRPr="0031487C">
              <w:rPr>
                <w:rFonts w:ascii="Calibri" w:eastAsia="Calibri" w:hAnsi="Calibri" w:cs="Calibri"/>
              </w:rPr>
              <w:t>nterální výživa-krém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87C" w:rsidRDefault="00331187" w:rsidP="0032666F">
            <w:pPr>
              <w:widowControl/>
              <w:contextualSpacing/>
              <w:jc w:val="center"/>
              <w:rPr>
                <w:rFonts w:ascii="Calibri" w:eastAsia="Calibri" w:hAnsi="Calibri" w:cs="Calibri"/>
              </w:rPr>
            </w:pPr>
            <w:r w:rsidRPr="00331187">
              <w:rPr>
                <w:rFonts w:ascii="Calibri" w:eastAsia="Calibri" w:hAnsi="Calibri" w:cs="Calibri"/>
              </w:rPr>
              <w:t>ks (2</w:t>
            </w:r>
            <w:r>
              <w:rPr>
                <w:rFonts w:ascii="Calibri" w:eastAsia="Calibri" w:hAnsi="Calibri" w:cs="Calibri"/>
              </w:rPr>
              <w:t>0</w:t>
            </w:r>
            <w:r w:rsidR="004B7644">
              <w:rPr>
                <w:rFonts w:ascii="Calibri" w:eastAsia="Calibri" w:hAnsi="Calibri" w:cs="Calibri"/>
              </w:rPr>
              <w:t>0 g</w:t>
            </w:r>
            <w:r w:rsidRPr="00331187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87C" w:rsidRDefault="00331187" w:rsidP="0032666F">
            <w:pPr>
              <w:widowControl/>
              <w:contextualSpacing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3 200</w:t>
            </w:r>
          </w:p>
        </w:tc>
      </w:tr>
    </w:tbl>
    <w:p w:rsidR="002305C5" w:rsidRPr="00C37AFC" w:rsidRDefault="002305C5" w:rsidP="002305C5">
      <w:pPr>
        <w:widowControl/>
        <w:spacing w:line="360" w:lineRule="auto"/>
        <w:contextualSpacing/>
        <w:rPr>
          <w:rFonts w:ascii="Calibri" w:eastAsia="Calibri" w:hAnsi="Calibri" w:cs="Calibri"/>
          <w:sz w:val="14"/>
          <w:szCs w:val="14"/>
        </w:rPr>
      </w:pPr>
    </w:p>
    <w:p w:rsidR="00E73C20" w:rsidRDefault="00E73C20" w:rsidP="002305C5">
      <w:pPr>
        <w:widowControl/>
        <w:spacing w:line="36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proofErr w:type="spellStart"/>
      <w:r w:rsidRPr="00E73C20">
        <w:rPr>
          <w:rFonts w:ascii="Calibri" w:eastAsia="Calibri" w:hAnsi="Calibri" w:cs="Calibri"/>
        </w:rPr>
        <w:t>CaHMB</w:t>
      </w:r>
      <w:proofErr w:type="spellEnd"/>
      <w:r w:rsidRPr="00E73C20">
        <w:rPr>
          <w:rFonts w:ascii="Calibri" w:eastAsia="Calibri" w:hAnsi="Calibri" w:cs="Calibri"/>
        </w:rPr>
        <w:t xml:space="preserve">: </w:t>
      </w:r>
      <w:proofErr w:type="spellStart"/>
      <w:r w:rsidRPr="00E73C20">
        <w:rPr>
          <w:rFonts w:ascii="Calibri" w:eastAsia="Calibri" w:hAnsi="Calibri" w:cs="Calibri"/>
        </w:rPr>
        <w:t>monohydrát</w:t>
      </w:r>
      <w:proofErr w:type="spellEnd"/>
      <w:r w:rsidRPr="00E73C20">
        <w:rPr>
          <w:rFonts w:ascii="Calibri" w:eastAsia="Calibri" w:hAnsi="Calibri" w:cs="Calibri"/>
        </w:rPr>
        <w:t xml:space="preserve"> beta-</w:t>
      </w:r>
      <w:proofErr w:type="spellStart"/>
      <w:r w:rsidRPr="00E73C20">
        <w:rPr>
          <w:rFonts w:ascii="Calibri" w:eastAsia="Calibri" w:hAnsi="Calibri" w:cs="Calibri"/>
        </w:rPr>
        <w:t>hydroxy</w:t>
      </w:r>
      <w:proofErr w:type="spellEnd"/>
      <w:r w:rsidRPr="00E73C20">
        <w:rPr>
          <w:rFonts w:ascii="Calibri" w:eastAsia="Calibri" w:hAnsi="Calibri" w:cs="Calibri"/>
        </w:rPr>
        <w:t xml:space="preserve">-beta </w:t>
      </w:r>
      <w:proofErr w:type="spellStart"/>
      <w:r w:rsidRPr="00E73C20">
        <w:rPr>
          <w:rFonts w:ascii="Calibri" w:eastAsia="Calibri" w:hAnsi="Calibri" w:cs="Calibri"/>
        </w:rPr>
        <w:t>methylbutyrát</w:t>
      </w:r>
      <w:proofErr w:type="spellEnd"/>
      <w:r w:rsidRPr="00E73C20">
        <w:rPr>
          <w:rFonts w:ascii="Calibri" w:eastAsia="Calibri" w:hAnsi="Calibri" w:cs="Calibri"/>
        </w:rPr>
        <w:t xml:space="preserve"> vápenatý</w:t>
      </w:r>
    </w:p>
    <w:p w:rsidR="00C37AFC" w:rsidRPr="00E73944" w:rsidRDefault="00C37AFC" w:rsidP="002305C5">
      <w:pPr>
        <w:widowControl/>
        <w:spacing w:line="360" w:lineRule="auto"/>
        <w:contextualSpacing/>
        <w:rPr>
          <w:rFonts w:ascii="Calibri" w:eastAsia="Calibri" w:hAnsi="Calibri" w:cs="Calibri"/>
        </w:rPr>
      </w:pPr>
    </w:p>
    <w:p w:rsidR="002305C5" w:rsidRPr="00E73944" w:rsidRDefault="002305C5" w:rsidP="002305C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cena jednotlivých položek předmětu plnění, dále jen „zboží“ bude uváděna v</w:t>
      </w:r>
      <w:r w:rsidR="0032666F">
        <w:rPr>
          <w:rFonts w:ascii="Calibri" w:eastAsia="Calibri" w:hAnsi="Calibri" w:cs="Calibri"/>
        </w:rPr>
        <w:t> </w:t>
      </w:r>
      <w:r w:rsidRPr="00E73944">
        <w:rPr>
          <w:rFonts w:ascii="Calibri" w:eastAsia="Calibri" w:hAnsi="Calibri" w:cs="Calibri"/>
        </w:rPr>
        <w:t>MJ</w:t>
      </w:r>
      <w:r w:rsidR="0032666F">
        <w:rPr>
          <w:rFonts w:ascii="Calibri" w:eastAsia="Calibri" w:hAnsi="Calibri" w:cs="Calibri"/>
        </w:rPr>
        <w:t xml:space="preserve"> (1 </w:t>
      </w:r>
      <w:proofErr w:type="gramStart"/>
      <w:r w:rsidR="0032666F">
        <w:rPr>
          <w:rFonts w:ascii="Calibri" w:eastAsia="Calibri" w:hAnsi="Calibri" w:cs="Calibri"/>
        </w:rPr>
        <w:t xml:space="preserve">ml) </w:t>
      </w:r>
      <w:r w:rsidRPr="00E73944">
        <w:rPr>
          <w:rFonts w:ascii="Calibri" w:eastAsia="Calibri" w:hAnsi="Calibri" w:cs="Calibri"/>
        </w:rPr>
        <w:t xml:space="preserve"> v Kč</w:t>
      </w:r>
      <w:proofErr w:type="gramEnd"/>
      <w:r w:rsidRPr="00E73944">
        <w:rPr>
          <w:rFonts w:ascii="Calibri" w:eastAsia="Calibri" w:hAnsi="Calibri" w:cs="Calibri"/>
        </w:rPr>
        <w:t xml:space="preserve"> bez DPH;</w:t>
      </w:r>
    </w:p>
    <w:p w:rsidR="002305C5" w:rsidRDefault="002305C5" w:rsidP="002305C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nabídková cena je konečná a maximální, po dobu účinnosti rámcové kupní smlouvy je nepřekročitelná, zahrnuje dopravu do sídla zadavatele a všechny ostatní náklady dodavatele spojené s realizací zakázky;</w:t>
      </w:r>
    </w:p>
    <w:p w:rsidR="0032666F" w:rsidRDefault="0032666F" w:rsidP="00D37F6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32666F">
        <w:rPr>
          <w:rFonts w:ascii="Calibri" w:eastAsia="Calibri" w:hAnsi="Calibri" w:cs="Calibri"/>
        </w:rPr>
        <w:t>Zadavatel specifickými podmínkami (příloha Specifikace předmětu plnění) vymezuje charakteristiku poptávaného předmětu plnění, které musí splňovat nabídka dodavatele. Tato vyplněná příloha (v částech předmětu plnění, které účastník nabízí), je nezbytnou podmínk</w:t>
      </w:r>
      <w:r>
        <w:rPr>
          <w:rFonts w:ascii="Calibri" w:eastAsia="Calibri" w:hAnsi="Calibri" w:cs="Calibri"/>
        </w:rPr>
        <w:t>ou pro účast v zadávacím řízení;</w:t>
      </w:r>
    </w:p>
    <w:p w:rsidR="00D37F65" w:rsidRDefault="002305C5" w:rsidP="00D37F6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  <w:iCs/>
          <w:lang w:eastAsia="cs-CZ"/>
        </w:rPr>
        <w:t>poptávané množství zboží je pouze předpokladem budoucího odběru a je stanoveno pouze pro účely hodnocení nabídek;</w:t>
      </w:r>
    </w:p>
    <w:p w:rsidR="00D37F65" w:rsidRPr="00D37F65" w:rsidRDefault="00D37F65" w:rsidP="00D37F6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37F65">
        <w:rPr>
          <w:rFonts w:ascii="Calibri" w:hAnsi="Calibri" w:cs="Calibri"/>
          <w:color w:val="024213"/>
        </w:rPr>
        <w:t xml:space="preserve">vzhledem k různým objemům balení na trhu </w:t>
      </w:r>
      <w:r>
        <w:rPr>
          <w:rFonts w:ascii="Calibri" w:hAnsi="Calibri" w:cs="Calibri"/>
          <w:color w:val="024213"/>
        </w:rPr>
        <w:t>uvede</w:t>
      </w:r>
      <w:r w:rsidRPr="00D37F65">
        <w:rPr>
          <w:rFonts w:ascii="Calibri" w:hAnsi="Calibri" w:cs="Calibri"/>
          <w:color w:val="024213"/>
        </w:rPr>
        <w:t xml:space="preserve"> dodavatel nabídkovou cena za 1 ml přípravku</w:t>
      </w:r>
      <w:r>
        <w:rPr>
          <w:rFonts w:ascii="Calibri" w:hAnsi="Calibri" w:cs="Calibri"/>
          <w:color w:val="024213"/>
        </w:rPr>
        <w:t xml:space="preserve"> v Kč bez DPH</w:t>
      </w:r>
      <w:r w:rsidRPr="00D37F65">
        <w:rPr>
          <w:rFonts w:ascii="Calibri" w:hAnsi="Calibri" w:cs="Calibri"/>
          <w:color w:val="024213"/>
        </w:rPr>
        <w:t>;</w:t>
      </w:r>
    </w:p>
    <w:p w:rsidR="002305C5" w:rsidRPr="00E73944" w:rsidRDefault="002305C5" w:rsidP="002305C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  <w:iCs/>
          <w:lang w:eastAsia="cs-CZ"/>
        </w:rPr>
        <w:t xml:space="preserve">zadavatel připouští možnost dílčího plnění – zadavatel </w:t>
      </w:r>
      <w:r>
        <w:rPr>
          <w:rFonts w:ascii="Calibri" w:eastAsia="Calibri" w:hAnsi="Calibri" w:cs="Calibri"/>
          <w:iCs/>
          <w:lang w:eastAsia="cs-CZ"/>
        </w:rPr>
        <w:t xml:space="preserve">může dle nabídkové ceny za jednotlivé položky </w:t>
      </w:r>
      <w:r w:rsidRPr="00E73944">
        <w:rPr>
          <w:rFonts w:ascii="Calibri" w:eastAsia="Calibri" w:hAnsi="Calibri" w:cs="Calibri"/>
          <w:iCs/>
          <w:lang w:eastAsia="cs-CZ"/>
        </w:rPr>
        <w:t>uzavř</w:t>
      </w:r>
      <w:r>
        <w:rPr>
          <w:rFonts w:ascii="Calibri" w:eastAsia="Calibri" w:hAnsi="Calibri" w:cs="Calibri"/>
          <w:iCs/>
          <w:lang w:eastAsia="cs-CZ"/>
        </w:rPr>
        <w:t>ít</w:t>
      </w:r>
      <w:r w:rsidRPr="00E73944">
        <w:rPr>
          <w:rFonts w:ascii="Calibri" w:eastAsia="Calibri" w:hAnsi="Calibri" w:cs="Calibri"/>
          <w:iCs/>
          <w:lang w:eastAsia="cs-CZ"/>
        </w:rPr>
        <w:t xml:space="preserve"> smluvní vztah s jedním </w:t>
      </w:r>
      <w:r>
        <w:rPr>
          <w:rFonts w:ascii="Calibri" w:eastAsia="Calibri" w:hAnsi="Calibri" w:cs="Calibri"/>
          <w:iCs/>
          <w:lang w:eastAsia="cs-CZ"/>
        </w:rPr>
        <w:t xml:space="preserve">nebo více </w:t>
      </w:r>
      <w:r w:rsidRPr="00E73944">
        <w:rPr>
          <w:rFonts w:ascii="Calibri" w:eastAsia="Calibri" w:hAnsi="Calibri" w:cs="Calibri"/>
          <w:iCs/>
          <w:lang w:eastAsia="cs-CZ"/>
        </w:rPr>
        <w:t>vítězným</w:t>
      </w:r>
      <w:r>
        <w:rPr>
          <w:rFonts w:ascii="Calibri" w:eastAsia="Calibri" w:hAnsi="Calibri" w:cs="Calibri"/>
          <w:iCs/>
          <w:lang w:eastAsia="cs-CZ"/>
        </w:rPr>
        <w:t>i</w:t>
      </w:r>
      <w:r w:rsidRPr="00E73944">
        <w:rPr>
          <w:rFonts w:ascii="Calibri" w:eastAsia="Calibri" w:hAnsi="Calibri" w:cs="Calibri"/>
          <w:iCs/>
          <w:lang w:eastAsia="cs-CZ"/>
        </w:rPr>
        <w:t xml:space="preserve"> dodavatel</w:t>
      </w:r>
      <w:r>
        <w:rPr>
          <w:rFonts w:ascii="Calibri" w:eastAsia="Calibri" w:hAnsi="Calibri" w:cs="Calibri"/>
          <w:iCs/>
          <w:lang w:eastAsia="cs-CZ"/>
        </w:rPr>
        <w:t>i</w:t>
      </w:r>
      <w:r w:rsidRPr="00E73944">
        <w:rPr>
          <w:rFonts w:ascii="Calibri" w:eastAsia="Calibri" w:hAnsi="Calibri" w:cs="Calibri"/>
          <w:iCs/>
          <w:lang w:eastAsia="cs-CZ"/>
        </w:rPr>
        <w:t>;</w:t>
      </w:r>
    </w:p>
    <w:p w:rsidR="002305C5" w:rsidRPr="00E73944" w:rsidRDefault="002305C5" w:rsidP="002305C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účastník </w:t>
      </w:r>
      <w:r>
        <w:rPr>
          <w:rFonts w:ascii="Calibri" w:eastAsia="Calibri" w:hAnsi="Calibri" w:cs="Calibri"/>
        </w:rPr>
        <w:t>může podat nabídku na jednu až všech pět položek</w:t>
      </w:r>
      <w:r w:rsidRPr="00E73944">
        <w:rPr>
          <w:rFonts w:ascii="Calibri" w:eastAsia="Calibri" w:hAnsi="Calibri" w:cs="Calibri"/>
        </w:rPr>
        <w:t>;</w:t>
      </w:r>
    </w:p>
    <w:p w:rsidR="002305C5" w:rsidRPr="00E73944" w:rsidRDefault="002305C5" w:rsidP="002305C5">
      <w:pPr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lastRenderedPageBreak/>
        <w:t>místem dodání zboží je lékárna v sídle Zadavatele;</w:t>
      </w:r>
    </w:p>
    <w:p w:rsidR="002305C5" w:rsidRPr="00E73944" w:rsidRDefault="002305C5" w:rsidP="002305C5">
      <w:pPr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fakturace bude prováděna v CZK, přílohou faktury budou potvrzené dodací listy za jednotlivé dodávky;</w:t>
      </w:r>
    </w:p>
    <w:p w:rsidR="002305C5" w:rsidRDefault="002305C5" w:rsidP="002305C5">
      <w:pPr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splatnost daňových dokladů - faktur 30 dnů ode dne vystavení faktury.</w:t>
      </w:r>
    </w:p>
    <w:p w:rsidR="002305C5" w:rsidRPr="00E73944" w:rsidRDefault="002305C5" w:rsidP="002305C5">
      <w:pPr>
        <w:widowControl/>
        <w:autoSpaceDE/>
        <w:autoSpaceDN/>
        <w:spacing w:line="360" w:lineRule="auto"/>
        <w:ind w:left="284"/>
        <w:contextualSpacing/>
        <w:rPr>
          <w:rFonts w:ascii="Calibri" w:eastAsia="Calibri" w:hAnsi="Calibri" w:cs="Calibri"/>
        </w:rPr>
      </w:pPr>
    </w:p>
    <w:p w:rsidR="002305C5" w:rsidRDefault="002305C5" w:rsidP="002305C5">
      <w:pPr>
        <w:pStyle w:val="Styl1"/>
      </w:pPr>
      <w:r w:rsidRPr="00087152">
        <w:t>Předpokládaná hodnota výběrového řízení</w:t>
      </w:r>
    </w:p>
    <w:p w:rsidR="002305C5" w:rsidRPr="00331187" w:rsidRDefault="002305C5" w:rsidP="00331187">
      <w:pPr>
        <w:widowControl/>
        <w:autoSpaceDE/>
        <w:autoSpaceDN/>
        <w:rPr>
          <w:rFonts w:ascii="Calibri" w:hAnsi="Calibri" w:cs="Calibri"/>
          <w:b/>
          <w:bCs/>
        </w:rPr>
      </w:pPr>
      <w:r w:rsidRPr="00331187">
        <w:rPr>
          <w:rFonts w:ascii="Calibri" w:hAnsi="Calibri" w:cs="Calibri"/>
          <w:bCs/>
        </w:rPr>
        <w:t xml:space="preserve">Předpokládaná hodnota činí </w:t>
      </w:r>
      <w:r w:rsidR="00331187" w:rsidRPr="00160FA0">
        <w:rPr>
          <w:rFonts w:ascii="Calibri" w:eastAsia="Times New Roman" w:hAnsi="Calibri" w:cs="Calibri"/>
          <w:b/>
          <w:bCs/>
          <w:color w:val="000000"/>
          <w:lang w:eastAsia="cs-CZ"/>
        </w:rPr>
        <w:t>2 251</w:t>
      </w:r>
      <w:r w:rsidRPr="00160FA0">
        <w:rPr>
          <w:rFonts w:ascii="Calibri" w:hAnsi="Calibri" w:cs="Calibri"/>
          <w:b/>
          <w:bCs/>
        </w:rPr>
        <w:t xml:space="preserve"> tis. Kč bez DPH</w:t>
      </w:r>
      <w:r w:rsidRPr="00331187">
        <w:rPr>
          <w:rFonts w:ascii="Calibri" w:hAnsi="Calibri" w:cs="Calibri"/>
          <w:bCs/>
        </w:rPr>
        <w:t xml:space="preserve"> za celý předmět plnění.</w:t>
      </w:r>
    </w:p>
    <w:p w:rsidR="002305C5" w:rsidRPr="00087152" w:rsidRDefault="002305C5" w:rsidP="002305C5">
      <w:pPr>
        <w:pStyle w:val="Styl1"/>
        <w:numPr>
          <w:ilvl w:val="0"/>
          <w:numId w:val="0"/>
        </w:numPr>
        <w:ind w:left="360" w:hanging="360"/>
        <w:rPr>
          <w:b w:val="0"/>
          <w:bCs/>
        </w:rPr>
      </w:pPr>
    </w:p>
    <w:p w:rsidR="002305C5" w:rsidRPr="00E73944" w:rsidRDefault="002305C5" w:rsidP="002305C5">
      <w:pPr>
        <w:pStyle w:val="Styl1"/>
      </w:pPr>
      <w:r w:rsidRPr="00E73944">
        <w:t>Doba plnění</w:t>
      </w:r>
    </w:p>
    <w:p w:rsidR="002305C5" w:rsidRPr="00E73944" w:rsidRDefault="0031487C" w:rsidP="002305C5">
      <w:pPr>
        <w:widowControl/>
        <w:spacing w:line="360" w:lineRule="auto"/>
        <w:ind w:left="360" w:hanging="360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48</w:t>
      </w:r>
      <w:r w:rsidR="002305C5" w:rsidRPr="00E73944">
        <w:rPr>
          <w:rFonts w:ascii="Calibri" w:eastAsia="Calibri" w:hAnsi="Calibri" w:cs="Calibri"/>
        </w:rPr>
        <w:t xml:space="preserve"> měsíců od uzavření rámcové kupní smlouvy.</w:t>
      </w:r>
    </w:p>
    <w:p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:rsidR="002305C5" w:rsidRPr="00E73944" w:rsidRDefault="002305C5" w:rsidP="002305C5">
      <w:pPr>
        <w:pStyle w:val="Styl1"/>
      </w:pPr>
      <w:r w:rsidRPr="00E73944">
        <w:t>Místo plnění</w:t>
      </w:r>
    </w:p>
    <w:p w:rsidR="002305C5" w:rsidRDefault="002305C5" w:rsidP="002305C5">
      <w:pPr>
        <w:widowControl/>
        <w:spacing w:line="360" w:lineRule="auto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Nemocnice Ivančice, příspěvková organizace, Široká 390/16, 664 91 Ivančice, lékárna,</w:t>
      </w:r>
    </w:p>
    <w:p w:rsidR="002305C5" w:rsidRPr="00E73944" w:rsidRDefault="002305C5" w:rsidP="002305C5">
      <w:pPr>
        <w:widowControl/>
        <w:spacing w:line="360" w:lineRule="auto"/>
        <w:contextualSpacing/>
        <w:rPr>
          <w:rFonts w:ascii="Calibri" w:eastAsia="Calibri" w:hAnsi="Calibri" w:cs="Calibri"/>
        </w:rPr>
      </w:pPr>
    </w:p>
    <w:p w:rsidR="002305C5" w:rsidRPr="00E73944" w:rsidRDefault="002305C5" w:rsidP="002305C5">
      <w:pPr>
        <w:pStyle w:val="Styl1"/>
      </w:pPr>
      <w:r w:rsidRPr="00E73944">
        <w:t>Lhůta pro podání nabídek, termín soutěžního kola</w:t>
      </w:r>
    </w:p>
    <w:p w:rsidR="002305C5" w:rsidRPr="00E73944" w:rsidRDefault="002305C5" w:rsidP="002305C5">
      <w:pPr>
        <w:widowControl/>
        <w:spacing w:line="276" w:lineRule="auto"/>
        <w:ind w:left="360" w:hanging="360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Lhůta pro podání nabídek končí dne</w:t>
      </w:r>
      <w:r w:rsidR="00160FA0">
        <w:rPr>
          <w:rFonts w:ascii="Calibri" w:eastAsia="Calibri" w:hAnsi="Calibri" w:cs="Calibri"/>
        </w:rPr>
        <w:t xml:space="preserve"> 4. 7. 2025, 13:00 hod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Soutěžní kolo se uskuteční formou e-aukce dne</w:t>
      </w:r>
      <w:r w:rsidR="00160FA0">
        <w:rPr>
          <w:rFonts w:ascii="Calibri" w:eastAsia="Calibri" w:hAnsi="Calibri" w:cs="Calibri"/>
        </w:rPr>
        <w:t xml:space="preserve"> 1</w:t>
      </w:r>
      <w:r w:rsidR="00ED4813">
        <w:rPr>
          <w:rFonts w:ascii="Calibri" w:eastAsia="Calibri" w:hAnsi="Calibri" w:cs="Calibri"/>
        </w:rPr>
        <w:t>5</w:t>
      </w:r>
      <w:r w:rsidR="00160FA0">
        <w:rPr>
          <w:rFonts w:ascii="Calibri" w:eastAsia="Calibri" w:hAnsi="Calibri" w:cs="Calibri"/>
        </w:rPr>
        <w:t>. 7. 2025</w:t>
      </w:r>
      <w:r w:rsidR="0010002B">
        <w:rPr>
          <w:rFonts w:ascii="Calibri" w:eastAsia="Calibri" w:hAnsi="Calibri" w:cs="Calibri"/>
        </w:rPr>
        <w:t>, 10:00 hod</w:t>
      </w:r>
    </w:p>
    <w:p w:rsidR="002305C5" w:rsidRPr="00E73944" w:rsidRDefault="002305C5" w:rsidP="002305C5">
      <w:pPr>
        <w:widowControl/>
        <w:spacing w:line="360" w:lineRule="auto"/>
        <w:ind w:firstLine="360"/>
        <w:rPr>
          <w:rFonts w:ascii="Calibri" w:eastAsia="Calibri" w:hAnsi="Calibri" w:cs="Calibri"/>
        </w:rPr>
      </w:pPr>
    </w:p>
    <w:p w:rsidR="002305C5" w:rsidRPr="00E73944" w:rsidRDefault="002305C5" w:rsidP="002305C5">
      <w:pPr>
        <w:pStyle w:val="Styl1"/>
      </w:pPr>
      <w:r w:rsidRPr="00E73944">
        <w:t>Prohlídka místa plnění</w:t>
      </w:r>
    </w:p>
    <w:p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Prohlídka místa plnění nebude vzhledem k předmětu veřejné zakázky uskutečněna.</w:t>
      </w:r>
    </w:p>
    <w:p w:rsidR="002305C5" w:rsidRPr="00E73944" w:rsidRDefault="002305C5" w:rsidP="002305C5">
      <w:pPr>
        <w:widowControl/>
        <w:spacing w:line="360" w:lineRule="auto"/>
        <w:ind w:firstLine="360"/>
        <w:rPr>
          <w:rFonts w:ascii="Calibri" w:eastAsia="Calibri" w:hAnsi="Calibri" w:cs="Calibri"/>
        </w:rPr>
      </w:pPr>
    </w:p>
    <w:p w:rsidR="002305C5" w:rsidRPr="00E73944" w:rsidRDefault="002305C5" w:rsidP="002305C5">
      <w:pPr>
        <w:pStyle w:val="Styl1"/>
      </w:pPr>
      <w:r w:rsidRPr="00E73944">
        <w:t>Nabídková cena</w:t>
      </w:r>
    </w:p>
    <w:p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Účastník v nabídce uvede cenu za</w:t>
      </w:r>
      <w:r w:rsidR="00D37F65">
        <w:rPr>
          <w:rFonts w:ascii="Calibri" w:eastAsia="Calibri" w:hAnsi="Calibri" w:cs="Calibri"/>
        </w:rPr>
        <w:t xml:space="preserve"> 1 mm přípravku</w:t>
      </w:r>
      <w:r w:rsidRPr="00E73944">
        <w:rPr>
          <w:rFonts w:ascii="Calibri" w:eastAsia="Calibri" w:hAnsi="Calibri" w:cs="Calibri"/>
        </w:rPr>
        <w:t xml:space="preserve"> </w:t>
      </w:r>
      <w:r w:rsidR="00D37F65">
        <w:rPr>
          <w:rFonts w:ascii="Calibri" w:eastAsia="Calibri" w:hAnsi="Calibri" w:cs="Calibri"/>
        </w:rPr>
        <w:t xml:space="preserve">v Kč </w:t>
      </w:r>
      <w:r w:rsidRPr="00E73944">
        <w:rPr>
          <w:rFonts w:ascii="Calibri" w:eastAsia="Calibri" w:hAnsi="Calibri" w:cs="Calibri"/>
        </w:rPr>
        <w:t>bez DPH.</w:t>
      </w:r>
    </w:p>
    <w:p w:rsidR="002305C5" w:rsidRPr="00E73944" w:rsidRDefault="002305C5" w:rsidP="002305C5">
      <w:pPr>
        <w:widowControl/>
        <w:rPr>
          <w:rFonts w:ascii="Calibri" w:eastAsia="Calibri" w:hAnsi="Calibri" w:cs="Calibri"/>
        </w:rPr>
      </w:pPr>
    </w:p>
    <w:p w:rsidR="002305C5" w:rsidRPr="00E73944" w:rsidRDefault="002305C5" w:rsidP="002305C5">
      <w:pPr>
        <w:pStyle w:val="Styl1"/>
      </w:pPr>
      <w:r w:rsidRPr="00E73944">
        <w:t>Způsob hodnocení nabídek</w:t>
      </w:r>
    </w:p>
    <w:p w:rsidR="002305C5" w:rsidRDefault="002305C5" w:rsidP="002305C5">
      <w:pPr>
        <w:widowControl/>
        <w:spacing w:line="276" w:lineRule="auto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Hodnocení nabídek bude provedeno dle hodnotícího kritéria nejnižší nabídkové ceny za </w:t>
      </w:r>
      <w:r>
        <w:rPr>
          <w:rFonts w:ascii="Calibri" w:eastAsia="Calibri" w:hAnsi="Calibri" w:cs="Calibri"/>
        </w:rPr>
        <w:t>každou položku zvlášť</w:t>
      </w:r>
      <w:r w:rsidRPr="00E73944">
        <w:rPr>
          <w:rFonts w:ascii="Calibri" w:eastAsia="Calibri" w:hAnsi="Calibri" w:cs="Calibri"/>
        </w:rPr>
        <w:t>.</w:t>
      </w:r>
    </w:p>
    <w:p w:rsidR="002305C5" w:rsidRPr="00E73944" w:rsidRDefault="002305C5" w:rsidP="002305C5">
      <w:pPr>
        <w:widowControl/>
        <w:spacing w:line="360" w:lineRule="auto"/>
        <w:contextualSpacing/>
        <w:rPr>
          <w:rFonts w:ascii="Calibri" w:eastAsia="Calibri" w:hAnsi="Calibri" w:cs="Calibri"/>
          <w:b/>
        </w:rPr>
      </w:pPr>
    </w:p>
    <w:p w:rsidR="002305C5" w:rsidRPr="00E73944" w:rsidRDefault="002305C5" w:rsidP="002305C5">
      <w:pPr>
        <w:pStyle w:val="Styl1"/>
      </w:pPr>
      <w:r w:rsidRPr="00E73944">
        <w:t>Obchodní podmínky</w:t>
      </w:r>
    </w:p>
    <w:p w:rsidR="002305C5" w:rsidRPr="00E73944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Obchodní podmínky, včetně platebních podmínek, jsou definovány návrhem závazné rámcové kupní smlouvy, která je přílohou</w:t>
      </w:r>
      <w:r w:rsidRPr="00E73944">
        <w:rPr>
          <w:rFonts w:ascii="Calibri" w:eastAsia="Calibri" w:hAnsi="Calibri" w:cs="Calibri"/>
          <w:b/>
        </w:rPr>
        <w:t xml:space="preserve"> </w:t>
      </w:r>
      <w:r w:rsidRPr="00E73944">
        <w:rPr>
          <w:rFonts w:ascii="Calibri" w:eastAsia="Calibri" w:hAnsi="Calibri" w:cs="Calibri"/>
        </w:rPr>
        <w:t>této zadávací dokumentace.</w:t>
      </w:r>
    </w:p>
    <w:p w:rsidR="002305C5" w:rsidRPr="00E73944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Zadavatel požaduje, aby účastník zadávacího řízení potvrdil souhlas s obchodními podmínkami podpisem oprávněné osoby a prostřednictvím elektronického nástroje je přiložil v elektronické podobě ke své nabídce jako přílohu. Úpravy textu smlouvy nejsou přípustné.</w:t>
      </w:r>
    </w:p>
    <w:p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:rsidR="002305C5" w:rsidRPr="00E73944" w:rsidRDefault="002305C5" w:rsidP="002305C5">
      <w:pPr>
        <w:pStyle w:val="Styl1"/>
        <w:tabs>
          <w:tab w:val="left" w:pos="426"/>
        </w:tabs>
        <w:spacing w:line="276" w:lineRule="auto"/>
        <w:ind w:left="0" w:firstLine="0"/>
      </w:pPr>
      <w:r w:rsidRPr="00E73944">
        <w:t>Způsob podání nabídky a její obsah</w:t>
      </w:r>
      <w:r w:rsidRPr="00E73944">
        <w:br/>
      </w:r>
      <w:r w:rsidRPr="00087152">
        <w:rPr>
          <w:b w:val="0"/>
          <w:bCs/>
        </w:rPr>
        <w:t>Výběrové řízení bude realizováno prostřednictvím elektronického nástroje ProEbiz.</w:t>
      </w:r>
      <w:r w:rsidRPr="00087152">
        <w:rPr>
          <w:b w:val="0"/>
          <w:bCs/>
        </w:rPr>
        <w:br/>
      </w:r>
      <w:r w:rsidRPr="00087152">
        <w:rPr>
          <w:b w:val="0"/>
          <w:bCs/>
        </w:rPr>
        <w:lastRenderedPageBreak/>
        <w:t>Veškeré úkony a komunikace která se týká zadávacího řízení, probíhají elektronicky prostřednictvím elektronického nástroje ProEbiz.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Výběrové řízení se bude skládat ze zadávacího kola, ve kterém předloží účastníci v elektronické podobě své cenové nabídky a aukčního-závěrečného kola, do kterého postoupí účastníci, kteří splní zadávací podmínky. 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V rámci aukčního kola bude možno nabídkovou cenu pouze snižovat, při její změně se čas aukce prodlužuje.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Přihlášku společně s heslem obdrží účastník po vyplnění základních identifikačních údajů na adrese </w:t>
      </w:r>
      <w:hyperlink r:id="rId11" w:history="1">
        <w:r w:rsidRPr="00E73944">
          <w:rPr>
            <w:rFonts w:ascii="Calibri" w:eastAsia="Calibri" w:hAnsi="Calibri" w:cs="Calibri"/>
            <w:color w:val="0000FF"/>
            <w:u w:val="single"/>
          </w:rPr>
          <w:t>http://nspiv.proebiz.com/vstup/aukce_seznam.php</w:t>
        </w:r>
      </w:hyperlink>
      <w:r w:rsidRPr="00E73944">
        <w:rPr>
          <w:rFonts w:ascii="Calibri" w:eastAsia="Calibri" w:hAnsi="Calibri" w:cs="Calibri"/>
        </w:rPr>
        <w:t>, kde budou zveřejněny i veškeré další informace.</w:t>
      </w:r>
      <w:r w:rsidRPr="00E73944">
        <w:rPr>
          <w:rFonts w:ascii="Calibri" w:eastAsia="Calibri" w:hAnsi="Calibri" w:cs="Calibri"/>
        </w:rPr>
        <w:br/>
        <w:t>Zadavatel poskytne uchazečům neomezený, úplný a přímý dálkový přístup k zadávací dokumentaci, a to po celou dobu lhůty pro podání nabídek.</w:t>
      </w:r>
      <w:r w:rsidRPr="00E73944">
        <w:rPr>
          <w:rFonts w:ascii="Calibri" w:eastAsia="Calibri" w:hAnsi="Calibri" w:cs="Calibri"/>
        </w:rPr>
        <w:br/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Nabídka bude vedle ceny předmětu plnění dále obsahovat:</w:t>
      </w:r>
    </w:p>
    <w:p w:rsidR="002305C5" w:rsidRPr="00E73944" w:rsidRDefault="002305C5" w:rsidP="002305C5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doplněný a potvrzený krycí list k veřejné zakázce;</w:t>
      </w:r>
    </w:p>
    <w:p w:rsidR="002305C5" w:rsidRPr="00E73944" w:rsidRDefault="002305C5" w:rsidP="002305C5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doplněný a potvrzený závazný návrh rámcové kupní smlouvy;</w:t>
      </w:r>
    </w:p>
    <w:p w:rsidR="002305C5" w:rsidRPr="00E73944" w:rsidRDefault="002305C5" w:rsidP="002305C5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doplněné a potvrzené čestné prohlášení o střetu zájmů;</w:t>
      </w:r>
    </w:p>
    <w:p w:rsidR="002305C5" w:rsidRDefault="002305C5" w:rsidP="002305C5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doplněné a potvrzené čestné prohlášení o splnění základní způsobilosti</w:t>
      </w:r>
    </w:p>
    <w:p w:rsidR="00D7733B" w:rsidRPr="00E73944" w:rsidRDefault="00D7733B" w:rsidP="002305C5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vyplněnou a potvrzenou přílohu Specifikace předmětu plnění</w:t>
      </w:r>
    </w:p>
    <w:p w:rsidR="002305C5" w:rsidRDefault="002305C5" w:rsidP="002305C5">
      <w:pPr>
        <w:widowControl/>
        <w:spacing w:line="276" w:lineRule="auto"/>
        <w:ind w:left="720" w:hanging="720"/>
        <w:contextualSpacing/>
        <w:rPr>
          <w:rFonts w:ascii="Calibri" w:eastAsia="Calibri" w:hAnsi="Calibri" w:cs="Calibri"/>
        </w:rPr>
      </w:pPr>
    </w:p>
    <w:p w:rsidR="002305C5" w:rsidRPr="00E73944" w:rsidRDefault="002305C5" w:rsidP="002305C5">
      <w:pPr>
        <w:widowControl/>
        <w:spacing w:line="276" w:lineRule="auto"/>
        <w:ind w:left="720" w:hanging="720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Dokumenty budou potvrzeny oprávněným zástupcem účastníka.</w:t>
      </w:r>
    </w:p>
    <w:p w:rsidR="002305C5" w:rsidRPr="00E73944" w:rsidRDefault="002305C5" w:rsidP="002305C5">
      <w:pPr>
        <w:widowControl/>
        <w:spacing w:line="360" w:lineRule="auto"/>
        <w:ind w:left="426"/>
        <w:contextualSpacing/>
        <w:rPr>
          <w:rFonts w:ascii="Calibri" w:eastAsia="Calibri" w:hAnsi="Calibri" w:cs="Calibri"/>
        </w:rPr>
      </w:pPr>
    </w:p>
    <w:p w:rsidR="002305C5" w:rsidRPr="00E73944" w:rsidRDefault="002305C5" w:rsidP="002305C5">
      <w:pPr>
        <w:pStyle w:val="Styl1"/>
      </w:pPr>
      <w:r w:rsidRPr="00E73944">
        <w:t>Další podmínky zadávacího řízení</w:t>
      </w:r>
    </w:p>
    <w:p w:rsidR="002305C5" w:rsidRPr="00E73944" w:rsidRDefault="002305C5" w:rsidP="002305C5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náklady účastníka spojené s účastí v zadávacím řízení zadavatel nehradí;</w:t>
      </w:r>
    </w:p>
    <w:p w:rsidR="002305C5" w:rsidRPr="00E73944" w:rsidRDefault="002305C5" w:rsidP="002305C5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účastník podáním nabídky uděluje zadavateli svůj výslovný souhlas se zveřejněním jeho nabídky v rozsahu a za podmínek vyplývajících z příslušných právních předpisů (zejména zákona č. 106/1999 Sb., o svobodném přístupu k informacím, ve znění pozdějších předpisů);</w:t>
      </w:r>
    </w:p>
    <w:p w:rsidR="002305C5" w:rsidRPr="00E73944" w:rsidRDefault="002305C5" w:rsidP="002305C5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zadavatel si vyhrazuje právo v průběhu lhůty pro podání nabídek měnit, doplnit či upřesnit podmínky zadání veřejné zakázky;</w:t>
      </w:r>
    </w:p>
    <w:p w:rsidR="002305C5" w:rsidRPr="00E73944" w:rsidRDefault="002305C5" w:rsidP="002305C5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zadavatel si vyhrazuje právo neuzavřít smlouvu se žádným účastníkem, odmítnout všechny nabídky nebo veřejnou zakázku zrušit, zejména z důvodu, když vysoutěžená cena bude vyšší než zadavatelem předpokládaná;</w:t>
      </w:r>
    </w:p>
    <w:p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  <w:b/>
        </w:rPr>
      </w:pPr>
    </w:p>
    <w:p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  <w:b/>
        </w:rPr>
        <w:t>Příloha: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Krycí list k veřejné zakázce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Čestné prohlášení – střet zájmů</w:t>
      </w:r>
    </w:p>
    <w:p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Čestné prohlášení – základní způsobilost</w:t>
      </w:r>
    </w:p>
    <w:p w:rsidR="002305C5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Rámcová kupní smlouva</w:t>
      </w:r>
    </w:p>
    <w:p w:rsidR="00D7733B" w:rsidRPr="00E73944" w:rsidRDefault="00D7733B" w:rsidP="002305C5">
      <w:pPr>
        <w:widowControl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Specifikace předmětu plnění</w:t>
      </w:r>
    </w:p>
    <w:p w:rsidR="002305C5" w:rsidRPr="00435408" w:rsidRDefault="002305C5" w:rsidP="002305C5"/>
    <w:p w:rsidR="002305C5" w:rsidRPr="002305C5" w:rsidRDefault="002305C5" w:rsidP="002305C5">
      <w:pPr>
        <w:widowControl/>
        <w:autoSpaceDE/>
        <w:autoSpaceDN/>
        <w:rPr>
          <w:rFonts w:eastAsia="Times New Roman"/>
          <w:color w:val="000000"/>
          <w:lang w:eastAsia="cs-CZ"/>
        </w:rPr>
      </w:pPr>
    </w:p>
    <w:p w:rsidR="002305C5" w:rsidRPr="002305C5" w:rsidRDefault="002305C5" w:rsidP="002305C5">
      <w:pPr>
        <w:widowControl/>
        <w:autoSpaceDE/>
        <w:autoSpaceDN/>
        <w:rPr>
          <w:rFonts w:eastAsia="Times New Roman"/>
          <w:color w:val="000000"/>
          <w:lang w:eastAsia="cs-CZ"/>
        </w:rPr>
      </w:pPr>
      <w:r w:rsidRPr="002305C5">
        <w:rPr>
          <w:rFonts w:eastAsia="Times New Roman"/>
          <w:color w:val="000000"/>
          <w:lang w:eastAsia="cs-CZ"/>
        </w:rPr>
        <w:t> </w:t>
      </w:r>
    </w:p>
    <w:p w:rsidR="00835A02" w:rsidRPr="002305C5" w:rsidRDefault="00835A02" w:rsidP="002305C5">
      <w:pPr>
        <w:widowControl/>
        <w:autoSpaceDE/>
        <w:autoSpaceDN/>
        <w:rPr>
          <w:rFonts w:eastAsia="Times New Roman"/>
          <w:color w:val="000000"/>
          <w:lang w:eastAsia="cs-CZ"/>
        </w:rPr>
      </w:pPr>
    </w:p>
    <w:sectPr w:rsidR="00835A02" w:rsidRPr="002305C5" w:rsidSect="00C0080D">
      <w:headerReference w:type="default" r:id="rId12"/>
      <w:footerReference w:type="default" r:id="rId13"/>
      <w:pgSz w:w="11906" w:h="16838"/>
      <w:pgMar w:top="1702" w:right="1417" w:bottom="1417" w:left="1417" w:header="136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6F" w:rsidRDefault="0032666F" w:rsidP="00081ACF">
      <w:r>
        <w:separator/>
      </w:r>
    </w:p>
  </w:endnote>
  <w:endnote w:type="continuationSeparator" w:id="0">
    <w:p w:rsidR="0032666F" w:rsidRDefault="0032666F" w:rsidP="0008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6F" w:rsidRPr="00081ACF" w:rsidRDefault="0040139D" w:rsidP="00081ACF">
    <w:pPr>
      <w:pStyle w:val="Zpat"/>
      <w:jc w:val="center"/>
      <w:rPr>
        <w:rFonts w:ascii="Calibri" w:hAnsi="Calibri" w:cs="Calibri"/>
      </w:rPr>
    </w:pPr>
    <w:r w:rsidRPr="00081ACF">
      <w:rPr>
        <w:rFonts w:ascii="Calibri" w:hAnsi="Calibri" w:cs="Calibri"/>
        <w:b/>
        <w:bCs/>
      </w:rPr>
      <w:fldChar w:fldCharType="begin"/>
    </w:r>
    <w:r w:rsidR="0032666F" w:rsidRPr="00081ACF">
      <w:rPr>
        <w:rFonts w:ascii="Calibri" w:hAnsi="Calibri" w:cs="Calibri"/>
        <w:b/>
        <w:bCs/>
      </w:rPr>
      <w:instrText>PAGE  \* Arabic  \* MERGEFORMAT</w:instrText>
    </w:r>
    <w:r w:rsidRPr="00081ACF">
      <w:rPr>
        <w:rFonts w:ascii="Calibri" w:hAnsi="Calibri" w:cs="Calibri"/>
        <w:b/>
        <w:bCs/>
      </w:rPr>
      <w:fldChar w:fldCharType="separate"/>
    </w:r>
    <w:r w:rsidR="0010002B">
      <w:rPr>
        <w:rFonts w:ascii="Calibri" w:hAnsi="Calibri" w:cs="Calibri"/>
        <w:b/>
        <w:bCs/>
        <w:noProof/>
      </w:rPr>
      <w:t>4</w:t>
    </w:r>
    <w:r w:rsidRPr="00081ACF">
      <w:rPr>
        <w:rFonts w:ascii="Calibri" w:hAnsi="Calibri" w:cs="Calibri"/>
        <w:b/>
        <w:bCs/>
      </w:rPr>
      <w:fldChar w:fldCharType="end"/>
    </w:r>
    <w:r w:rsidR="0032666F" w:rsidRPr="00081ACF">
      <w:rPr>
        <w:rFonts w:ascii="Calibri" w:hAnsi="Calibri" w:cs="Calibri"/>
      </w:rPr>
      <w:t>/</w:t>
    </w:r>
    <w:fldSimple w:instr="NUMPAGES  \* Arabic  \* MERGEFORMAT">
      <w:r w:rsidR="0010002B" w:rsidRPr="0010002B">
        <w:rPr>
          <w:rFonts w:ascii="Calibri" w:hAnsi="Calibri" w:cs="Calibri"/>
          <w:b/>
          <w:bCs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6F" w:rsidRDefault="0032666F" w:rsidP="00081ACF">
      <w:r>
        <w:separator/>
      </w:r>
    </w:p>
  </w:footnote>
  <w:footnote w:type="continuationSeparator" w:id="0">
    <w:p w:rsidR="0032666F" w:rsidRDefault="0032666F" w:rsidP="00081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6F" w:rsidRDefault="0032666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760720" cy="85915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81ACF"/>
    <w:rsid w:val="0003623C"/>
    <w:rsid w:val="00081ACF"/>
    <w:rsid w:val="000C12F4"/>
    <w:rsid w:val="000D0EAD"/>
    <w:rsid w:val="000F0066"/>
    <w:rsid w:val="0010002B"/>
    <w:rsid w:val="00160FA0"/>
    <w:rsid w:val="00185AE5"/>
    <w:rsid w:val="001E17C9"/>
    <w:rsid w:val="00203525"/>
    <w:rsid w:val="002305C5"/>
    <w:rsid w:val="0023589C"/>
    <w:rsid w:val="002410C8"/>
    <w:rsid w:val="002E28EB"/>
    <w:rsid w:val="0031487C"/>
    <w:rsid w:val="003165A7"/>
    <w:rsid w:val="0032666F"/>
    <w:rsid w:val="00331187"/>
    <w:rsid w:val="00351373"/>
    <w:rsid w:val="0037321E"/>
    <w:rsid w:val="003B605C"/>
    <w:rsid w:val="0040139D"/>
    <w:rsid w:val="004253B4"/>
    <w:rsid w:val="004B7644"/>
    <w:rsid w:val="00595116"/>
    <w:rsid w:val="005E68D6"/>
    <w:rsid w:val="00636DDA"/>
    <w:rsid w:val="006541D3"/>
    <w:rsid w:val="00687762"/>
    <w:rsid w:val="00835A02"/>
    <w:rsid w:val="008F0BCB"/>
    <w:rsid w:val="00985E0B"/>
    <w:rsid w:val="00A11775"/>
    <w:rsid w:val="00A212DD"/>
    <w:rsid w:val="00A457FD"/>
    <w:rsid w:val="00B24024"/>
    <w:rsid w:val="00C0080D"/>
    <w:rsid w:val="00C118CD"/>
    <w:rsid w:val="00C37AFC"/>
    <w:rsid w:val="00C700A0"/>
    <w:rsid w:val="00CD3979"/>
    <w:rsid w:val="00CE1BA5"/>
    <w:rsid w:val="00CF3FE3"/>
    <w:rsid w:val="00D1358A"/>
    <w:rsid w:val="00D37F65"/>
    <w:rsid w:val="00D471BB"/>
    <w:rsid w:val="00D745BA"/>
    <w:rsid w:val="00D7733B"/>
    <w:rsid w:val="00E6723C"/>
    <w:rsid w:val="00E73C20"/>
    <w:rsid w:val="00ED4813"/>
    <w:rsid w:val="00EF10DB"/>
    <w:rsid w:val="00F21AF9"/>
    <w:rsid w:val="00F56FBC"/>
    <w:rsid w:val="00F71849"/>
    <w:rsid w:val="00FF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2305C5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2305C5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Odstavecseseznamem"/>
    <w:link w:val="Styl1Char"/>
    <w:qFormat/>
    <w:rsid w:val="002305C5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Styl1Char">
    <w:name w:val="Styl1 Char"/>
    <w:basedOn w:val="Standardnpsmoodstavce"/>
    <w:link w:val="Styl1"/>
    <w:rsid w:val="002305C5"/>
    <w:rPr>
      <w:rFonts w:ascii="Calibri" w:eastAsia="Calibri" w:hAnsi="Calibri" w:cs="Calibri"/>
      <w:b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/profile_display_112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spiv.proebiz.com/vstup/aukce_seznam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iv.proebiz.com/vstup/aukce_seznam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ytkova@nemi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avek@nemi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1135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Morávek Zdeněk</dc:creator>
  <cp:lastModifiedBy>Zdeněk Morávek</cp:lastModifiedBy>
  <cp:revision>9</cp:revision>
  <cp:lastPrinted>2025-05-19T07:07:00Z</cp:lastPrinted>
  <dcterms:created xsi:type="dcterms:W3CDTF">2025-05-20T05:44:00Z</dcterms:created>
  <dcterms:modified xsi:type="dcterms:W3CDTF">2025-05-22T18:01:00Z</dcterms:modified>
</cp:coreProperties>
</file>