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52AE1854" w:rsidR="003A5694" w:rsidRPr="00485002" w:rsidRDefault="00A00BDF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Elektro</w:t>
            </w:r>
            <w:r w:rsidR="00434741"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chirurgická jednotka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36745D5F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A00BDF">
        <w:rPr>
          <w:rFonts w:ascii="Calibri Light" w:hAnsi="Calibri Light" w:cs="Calibri Light"/>
          <w:b/>
          <w:bCs/>
          <w:sz w:val="22"/>
          <w:szCs w:val="22"/>
        </w:rPr>
        <w:t>Elekt</w:t>
      </w:r>
      <w:r w:rsidR="00434741">
        <w:rPr>
          <w:rFonts w:ascii="Calibri Light" w:hAnsi="Calibri Light" w:cs="Calibri Light"/>
          <w:b/>
          <w:bCs/>
          <w:sz w:val="22"/>
          <w:szCs w:val="22"/>
        </w:rPr>
        <w:t>rochirurgická jednotka</w:t>
      </w:r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46E02E02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1F0355">
        <w:rPr>
          <w:rFonts w:ascii="Calibri Light" w:hAnsi="Calibri Light" w:cs="Calibri Light"/>
          <w:sz w:val="22"/>
          <w:szCs w:val="22"/>
        </w:rPr>
        <w:t>kupní smlouvy</w:t>
      </w:r>
      <w:r w:rsidRPr="00485002">
        <w:rPr>
          <w:rFonts w:ascii="Calibri Light" w:hAnsi="Calibri Light" w:cs="Calibri Light"/>
          <w:sz w:val="22"/>
          <w:szCs w:val="22"/>
        </w:rPr>
        <w:t>, jejich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……………………..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F207" w14:textId="77777777" w:rsidR="003F7F31" w:rsidRDefault="003F7F31" w:rsidP="003A5694">
      <w:r>
        <w:separator/>
      </w:r>
    </w:p>
  </w:endnote>
  <w:endnote w:type="continuationSeparator" w:id="0">
    <w:p w14:paraId="4EF21129" w14:textId="77777777" w:rsidR="003F7F31" w:rsidRDefault="003F7F31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5693" w14:textId="77777777" w:rsidR="003F7F31" w:rsidRDefault="003F7F31" w:rsidP="003A5694">
      <w:r>
        <w:separator/>
      </w:r>
    </w:p>
  </w:footnote>
  <w:footnote w:type="continuationSeparator" w:id="0">
    <w:p w14:paraId="5B076FDC" w14:textId="77777777" w:rsidR="003F7F31" w:rsidRDefault="003F7F31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1F0355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4B5F190A" w14:textId="77777777" w:rsidR="001F0355" w:rsidRDefault="001F0355" w:rsidP="001F0355">
    <w:pPr>
      <w:pStyle w:val="Nzev"/>
      <w:ind w:firstLine="1"/>
      <w:rPr>
        <w:rFonts w:ascii="Arial" w:hAnsi="Arial" w:cs="Arial"/>
        <w:color w:val="0094AB"/>
        <w:sz w:val="15"/>
        <w:szCs w:val="15"/>
      </w:rPr>
    </w:pPr>
  </w:p>
  <w:p w14:paraId="2FBE224C" w14:textId="1D0B08D8" w:rsidR="001F0355" w:rsidRPr="001F0355" w:rsidRDefault="001F0355" w:rsidP="001F0355">
    <w:pPr>
      <w:pStyle w:val="Nzev"/>
      <w:ind w:firstLine="1"/>
      <w:jc w:val="left"/>
      <w:rPr>
        <w:b w:val="0"/>
        <w:bCs/>
        <w:color w:val="auto"/>
      </w:rPr>
    </w:pPr>
    <w:r w:rsidRPr="001F0355">
      <w:rPr>
        <w:rFonts w:ascii="Arial" w:hAnsi="Arial" w:cs="Arial"/>
        <w:b w:val="0"/>
        <w:bCs/>
        <w:color w:val="auto"/>
        <w:sz w:val="15"/>
        <w:szCs w:val="15"/>
      </w:rPr>
      <w:t>Příloha č. 7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1F0355"/>
    <w:rsid w:val="002B0D3E"/>
    <w:rsid w:val="003A5694"/>
    <w:rsid w:val="003F7F31"/>
    <w:rsid w:val="00434741"/>
    <w:rsid w:val="00485002"/>
    <w:rsid w:val="007372C1"/>
    <w:rsid w:val="00A00BDF"/>
    <w:rsid w:val="00AF4450"/>
    <w:rsid w:val="00BF0300"/>
    <w:rsid w:val="00EA49E0"/>
    <w:rsid w:val="00F50889"/>
    <w:rsid w:val="00F84D38"/>
    <w:rsid w:val="00F92B49"/>
    <w:rsid w:val="00FC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3175</Characters>
  <Application>Microsoft Office Word</Application>
  <DocSecurity>0</DocSecurity>
  <Lines>26</Lines>
  <Paragraphs>7</Paragraphs>
  <ScaleCrop>false</ScaleCrop>
  <Company>Úřad vlády ČR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Ing. HROUDNÁ Petra</cp:lastModifiedBy>
  <cp:revision>6</cp:revision>
  <dcterms:created xsi:type="dcterms:W3CDTF">2025-04-16T11:23:00Z</dcterms:created>
  <dcterms:modified xsi:type="dcterms:W3CDTF">2025-05-06T10:36:00Z</dcterms:modified>
</cp:coreProperties>
</file>