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8CC50" w14:textId="206756D0" w:rsidR="00DF4C66" w:rsidRPr="00DF4C66" w:rsidRDefault="00DF4C66" w:rsidP="00DF4C66">
      <w:pPr>
        <w:jc w:val="right"/>
      </w:pPr>
      <w:r w:rsidRPr="00DF4C66">
        <w:t xml:space="preserve">Příloha č. </w:t>
      </w:r>
      <w:r w:rsidR="00FC7AA5">
        <w:t>3</w:t>
      </w:r>
    </w:p>
    <w:p w14:paraId="3E4100E6" w14:textId="532C60C2" w:rsidR="003776C4" w:rsidRPr="003776C4" w:rsidRDefault="00A01097" w:rsidP="003776C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Parametry</w:t>
      </w:r>
      <w:r w:rsidR="003776C4" w:rsidRPr="003776C4">
        <w:rPr>
          <w:b/>
          <w:bCs/>
          <w:sz w:val="24"/>
          <w:szCs w:val="24"/>
        </w:rPr>
        <w:t xml:space="preserve"> architektonické</w:t>
      </w:r>
      <w:r>
        <w:rPr>
          <w:b/>
          <w:bCs/>
          <w:sz w:val="24"/>
          <w:szCs w:val="24"/>
        </w:rPr>
        <w:t>ho</w:t>
      </w:r>
      <w:r w:rsidR="003776C4" w:rsidRPr="003776C4">
        <w:rPr>
          <w:b/>
          <w:bCs/>
          <w:sz w:val="24"/>
          <w:szCs w:val="24"/>
        </w:rPr>
        <w:t xml:space="preserve"> řešení domova</w:t>
      </w:r>
    </w:p>
    <w:p w14:paraId="257D5C99" w14:textId="06186A30" w:rsidR="0090295A" w:rsidRPr="00C50104" w:rsidRDefault="003776C4" w:rsidP="003776C4">
      <w:pPr>
        <w:jc w:val="both"/>
      </w:pPr>
      <w:r>
        <w:t>P</w:t>
      </w:r>
      <w:r w:rsidR="0090295A">
        <w:t>ro dobrý život a kvalitní službu</w:t>
      </w:r>
      <w:r w:rsidR="0090295A" w:rsidRPr="0090295A">
        <w:t xml:space="preserve"> </w:t>
      </w:r>
      <w:r w:rsidR="0090295A">
        <w:t>je klíčová</w:t>
      </w:r>
      <w:r w:rsidR="0090295A" w:rsidRPr="0090295A">
        <w:t xml:space="preserve"> </w:t>
      </w:r>
      <w:r w:rsidR="0090295A">
        <w:t>možnost pohybovat se samostatně nebo s dopomocí. Je</w:t>
      </w:r>
      <w:r w:rsidR="002263DF">
        <w:t> </w:t>
      </w:r>
      <w:r w:rsidR="0090295A">
        <w:t>proto upřednostňována přízemní budova. Interiér i exteriér domova musí lidem poskytnout možnost volného a bezpečného pohybu, možnost posezení a odpo</w:t>
      </w:r>
      <w:r w:rsidR="0090295A" w:rsidRPr="00C50104">
        <w:t>činku (židle, křesla, lavičky v krátkých vzdálenostech uvnitř i vně budovy).  V případě, že by si velikost pozemku vynutila stavbu vícepodlažní budovy, je třeba zajistit dostatek prostorných výtahů, které umožní zajištění provozu, ale také přístup klientů z vyšších pater do zahrady a dalších společných prostor.</w:t>
      </w:r>
    </w:p>
    <w:p w14:paraId="58D1C473" w14:textId="77777777" w:rsidR="004A713E" w:rsidRPr="00C50104" w:rsidRDefault="004A713E" w:rsidP="004A713E">
      <w:pPr>
        <w:pStyle w:val="Odstavecseseznamem"/>
        <w:numPr>
          <w:ilvl w:val="0"/>
          <w:numId w:val="5"/>
        </w:numPr>
        <w:spacing w:line="278" w:lineRule="auto"/>
      </w:pPr>
      <w:r w:rsidRPr="00C50104">
        <w:t>Druh služby: domov se zvláštním režimem (pro osoby s demencí)</w:t>
      </w:r>
    </w:p>
    <w:p w14:paraId="026A462C" w14:textId="77777777" w:rsidR="004A713E" w:rsidRPr="00C50104" w:rsidRDefault="004A713E" w:rsidP="004A713E">
      <w:pPr>
        <w:pStyle w:val="Odstavecseseznamem"/>
        <w:numPr>
          <w:ilvl w:val="0"/>
          <w:numId w:val="5"/>
        </w:numPr>
        <w:spacing w:line="278" w:lineRule="auto"/>
      </w:pPr>
      <w:r w:rsidRPr="00C50104">
        <w:t xml:space="preserve">Kapacita: max. </w:t>
      </w:r>
      <w:proofErr w:type="gramStart"/>
      <w:r w:rsidRPr="00C50104">
        <w:t>70 - 80</w:t>
      </w:r>
      <w:proofErr w:type="gramEnd"/>
      <w:r w:rsidRPr="00C50104">
        <w:t xml:space="preserve"> lůžek</w:t>
      </w:r>
    </w:p>
    <w:p w14:paraId="4212CA05" w14:textId="77777777" w:rsidR="004A713E" w:rsidRPr="00C50104" w:rsidRDefault="004A713E" w:rsidP="004A713E">
      <w:pPr>
        <w:pStyle w:val="Odstavecseseznamem"/>
        <w:numPr>
          <w:ilvl w:val="0"/>
          <w:numId w:val="5"/>
        </w:numPr>
        <w:spacing w:line="278" w:lineRule="auto"/>
      </w:pPr>
      <w:r w:rsidRPr="00C50104">
        <w:t>Poměr jedno a dvoulůžkových pokojů: bude nutné zpracovat variantní řešení (70:30 – ve prospěch jednolůžkových pokojů; 60:40 – ve prospěch jednolůžkových pokojů; 50:50)</w:t>
      </w:r>
    </w:p>
    <w:p w14:paraId="65DCF8F5" w14:textId="77777777" w:rsidR="004A713E" w:rsidRPr="00C50104" w:rsidRDefault="004A713E" w:rsidP="004A713E">
      <w:pPr>
        <w:pStyle w:val="Odstavecseseznamem"/>
        <w:numPr>
          <w:ilvl w:val="0"/>
          <w:numId w:val="5"/>
        </w:numPr>
        <w:spacing w:line="278" w:lineRule="auto"/>
      </w:pPr>
      <w:r w:rsidRPr="00C50104">
        <w:t xml:space="preserve">Jednolůžkový pokoj: min. velikost pokoje pro jednu osobu 12 m². Objem místnosti min. 30 m³. </w:t>
      </w:r>
    </w:p>
    <w:p w14:paraId="6947C95C" w14:textId="77777777" w:rsidR="004A713E" w:rsidRPr="00C50104" w:rsidRDefault="004A713E" w:rsidP="004A713E">
      <w:pPr>
        <w:spacing w:line="278" w:lineRule="auto"/>
        <w:ind w:left="708"/>
      </w:pPr>
      <w:r w:rsidRPr="00C50104">
        <w:t xml:space="preserve">TPPO (těžce pohybově postižené osoby) ČSN 73 4301 Obytné budovy: ložnice s jedním lůžkem min. 12 m². Objem místnosti min. 30 m³. </w:t>
      </w:r>
    </w:p>
    <w:p w14:paraId="0204C004" w14:textId="77777777" w:rsidR="004A713E" w:rsidRPr="002B2A66" w:rsidRDefault="004A713E" w:rsidP="004A713E">
      <w:pPr>
        <w:spacing w:line="278" w:lineRule="auto"/>
        <w:ind w:firstLine="708"/>
      </w:pPr>
      <w:r w:rsidRPr="002B2A66">
        <w:t>Přístup k lůžku u TPPO (těžce pohybově postižené osoby) ze tří stran.</w:t>
      </w:r>
    </w:p>
    <w:p w14:paraId="0B471B05" w14:textId="77777777" w:rsidR="004A713E" w:rsidRPr="002B2A66" w:rsidRDefault="004A713E" w:rsidP="004A713E">
      <w:pPr>
        <w:numPr>
          <w:ilvl w:val="0"/>
          <w:numId w:val="4"/>
        </w:numPr>
        <w:spacing w:line="278" w:lineRule="auto"/>
      </w:pPr>
      <w:r w:rsidRPr="002B2A66">
        <w:t xml:space="preserve">Dvoulůžkový pokoj: min. velikost pokoje pro dvě osoby 20 m². Objem místnosti min. 50 m³. </w:t>
      </w:r>
    </w:p>
    <w:p w14:paraId="41E43FD2" w14:textId="77777777" w:rsidR="004A713E" w:rsidRPr="002B2A66" w:rsidRDefault="004A713E" w:rsidP="004A713E">
      <w:pPr>
        <w:spacing w:line="278" w:lineRule="auto"/>
        <w:ind w:left="708"/>
      </w:pPr>
      <w:r w:rsidRPr="002B2A66">
        <w:t xml:space="preserve">TPPO (těžce pohybově postižené osoby) ČSN 73 4301 Obytné budovy: ložnice se dvěma lůžky min. 25 m². Objem místnosti min. 50 m³. </w:t>
      </w:r>
    </w:p>
    <w:p w14:paraId="6C71442D" w14:textId="77777777" w:rsidR="004A713E" w:rsidRPr="002B2A66" w:rsidRDefault="004A713E" w:rsidP="004A713E">
      <w:pPr>
        <w:spacing w:line="278" w:lineRule="auto"/>
        <w:ind w:firstLine="708"/>
      </w:pPr>
      <w:r w:rsidRPr="002B2A66">
        <w:t>Přístup k lůžku u TPPO (těžce pohybově postižené osoby) ze tří stran.</w:t>
      </w:r>
    </w:p>
    <w:p w14:paraId="50516EA7" w14:textId="1C1B7683" w:rsidR="004A713E" w:rsidRPr="002B2A66" w:rsidRDefault="004A713E" w:rsidP="004A713E">
      <w:pPr>
        <w:numPr>
          <w:ilvl w:val="0"/>
          <w:numId w:val="4"/>
        </w:numPr>
        <w:spacing w:line="278" w:lineRule="auto"/>
      </w:pPr>
      <w:r w:rsidRPr="002B2A66">
        <w:t xml:space="preserve">Každý pokoj má k dispozici vlastní WC a koupelnu, šířka dveří od pokojů i chodby musí umožňovat manipulaci s lůžkem. Možná i varianta koupelny a WC společná pro dva pokoje </w:t>
      </w:r>
    </w:p>
    <w:p w14:paraId="5F0EE3B1" w14:textId="77777777" w:rsidR="004A713E" w:rsidRPr="002B2A66" w:rsidRDefault="004A713E" w:rsidP="004A713E">
      <w:pPr>
        <w:numPr>
          <w:ilvl w:val="0"/>
          <w:numId w:val="4"/>
        </w:numPr>
        <w:spacing w:line="278" w:lineRule="auto"/>
      </w:pPr>
      <w:r w:rsidRPr="002B2A66">
        <w:t>Ideální je možnost vyjet ze všech pokojů na lůžku do zahrady, na terasu, na dostatečně velký balkón.</w:t>
      </w:r>
    </w:p>
    <w:p w14:paraId="5941F423" w14:textId="77777777" w:rsidR="004A713E" w:rsidRPr="002B2A66" w:rsidRDefault="004A713E" w:rsidP="004A713E">
      <w:pPr>
        <w:numPr>
          <w:ilvl w:val="0"/>
          <w:numId w:val="4"/>
        </w:numPr>
        <w:spacing w:line="278" w:lineRule="auto"/>
      </w:pPr>
      <w:r w:rsidRPr="002B2A66">
        <w:t xml:space="preserve">V souvislosti s přísnými protipožárními předpisy je vhodné předem myslet na projektování pobytových chodeb (tj. např. s možností umístění křesel apod.). </w:t>
      </w:r>
    </w:p>
    <w:p w14:paraId="523FBFB3" w14:textId="77777777" w:rsidR="004A713E" w:rsidRPr="002B2A66" w:rsidRDefault="004A713E" w:rsidP="004A713E">
      <w:pPr>
        <w:numPr>
          <w:ilvl w:val="0"/>
          <w:numId w:val="4"/>
        </w:numPr>
        <w:spacing w:line="278" w:lineRule="auto"/>
      </w:pPr>
      <w:r w:rsidRPr="002B2A66">
        <w:t>Chodby je vhodné koncipovat jako uzavřené (možnost chodit dokola budovy).</w:t>
      </w:r>
    </w:p>
    <w:p w14:paraId="72AA1FD3" w14:textId="77777777" w:rsidR="004A713E" w:rsidRPr="002B2A66" w:rsidRDefault="004A713E" w:rsidP="004A713E">
      <w:pPr>
        <w:numPr>
          <w:ilvl w:val="0"/>
          <w:numId w:val="4"/>
        </w:numPr>
        <w:spacing w:line="278" w:lineRule="auto"/>
      </w:pPr>
      <w:r w:rsidRPr="002B2A66">
        <w:t>Pamatovat na prostor/ posezení pro návštěvy, možnost uvaření kávy/ čaje, zajištění soukromí.</w:t>
      </w:r>
    </w:p>
    <w:p w14:paraId="0393CDC7" w14:textId="77777777" w:rsidR="004A713E" w:rsidRPr="00912927" w:rsidRDefault="004A713E" w:rsidP="004A713E">
      <w:pPr>
        <w:numPr>
          <w:ilvl w:val="0"/>
          <w:numId w:val="4"/>
        </w:numPr>
        <w:spacing w:line="278" w:lineRule="auto"/>
      </w:pPr>
      <w:r w:rsidRPr="002B2A66">
        <w:t xml:space="preserve">Nezbytná je zahrada (vedle domu nebo obklopená domem), která umožňuje bezpečný pohyb </w:t>
      </w:r>
      <w:r w:rsidRPr="00912927">
        <w:t>osob (osvědčuje se tzv. nekonečný chodník).</w:t>
      </w:r>
    </w:p>
    <w:p w14:paraId="23256E67" w14:textId="77777777" w:rsidR="00912927" w:rsidRPr="00912927" w:rsidRDefault="004A713E" w:rsidP="00E4311C">
      <w:pPr>
        <w:numPr>
          <w:ilvl w:val="0"/>
          <w:numId w:val="4"/>
        </w:numPr>
        <w:spacing w:line="278" w:lineRule="auto"/>
      </w:pPr>
      <w:r w:rsidRPr="00912927">
        <w:t>Dále je třeba myslet na dostatečně velké parkoviště.</w:t>
      </w:r>
    </w:p>
    <w:p w14:paraId="006E7294" w14:textId="48709C35" w:rsidR="00912927" w:rsidRPr="00912927" w:rsidRDefault="00912927" w:rsidP="00E4311C">
      <w:pPr>
        <w:numPr>
          <w:ilvl w:val="0"/>
          <w:numId w:val="4"/>
        </w:numPr>
        <w:spacing w:line="278" w:lineRule="auto"/>
      </w:pPr>
      <w:r w:rsidRPr="00912927">
        <w:t>prověřit možnosti ekonomické varianty výstavby a provozu vlastní kuchyně a prádelny ve Veselí nad Moravou a v Bučovicích, případně dovozu obědů a služby praní prádla. S porovnáním provozu na 10, 20, a 30 let</w:t>
      </w:r>
    </w:p>
    <w:p w14:paraId="208DAD32" w14:textId="2B5ABB54" w:rsidR="004A713E" w:rsidRPr="002B2A66" w:rsidRDefault="00912927" w:rsidP="00912927">
      <w:pPr>
        <w:numPr>
          <w:ilvl w:val="0"/>
          <w:numId w:val="4"/>
        </w:numPr>
        <w:spacing w:line="278" w:lineRule="auto"/>
      </w:pPr>
      <w:r w:rsidRPr="00912927">
        <w:lastRenderedPageBreak/>
        <w:t>Můžeme nabídnout konzultace a odkazy na zařízení kde probíhá tato služba ve vlastních prostorech, vlastními zaměstnanci, případně kde je služba využívána, jako externí.</w:t>
      </w:r>
      <w:r w:rsidR="00CF7EC1">
        <w:t xml:space="preserve"> </w:t>
      </w:r>
      <w:r w:rsidR="004A713E" w:rsidRPr="00912927">
        <w:t xml:space="preserve">Možná inspirace např. viz </w:t>
      </w:r>
      <w:hyperlink r:id="rId7" w:history="1">
        <w:r w:rsidR="004A713E" w:rsidRPr="00912927">
          <w:rPr>
            <w:rStyle w:val="Hypertextovodkaz"/>
          </w:rPr>
          <w:t>https://domovmysliborice.cz/sluzba-oj/domov-pro-seniory-pomnenka-v-novem-meste-na-morave/</w:t>
        </w:r>
      </w:hyperlink>
    </w:p>
    <w:p w14:paraId="763A2024" w14:textId="77777777" w:rsidR="004A713E" w:rsidRPr="002B2A66" w:rsidRDefault="004A713E" w:rsidP="004A713E">
      <w:pPr>
        <w:spacing w:line="278" w:lineRule="auto"/>
      </w:pPr>
      <w:r w:rsidRPr="002B2A66">
        <w:rPr>
          <w:b/>
          <w:bCs/>
        </w:rPr>
        <w:t>Umístění a okolí</w:t>
      </w:r>
    </w:p>
    <w:p w14:paraId="2EF00223" w14:textId="77777777" w:rsidR="004A713E" w:rsidRPr="002B2A66" w:rsidRDefault="004A713E" w:rsidP="004A713E">
      <w:pPr>
        <w:spacing w:line="278" w:lineRule="auto"/>
      </w:pPr>
      <w:r w:rsidRPr="002B2A66">
        <w:t>Budova/y Domova by měla být co nejvíce přirozenou součástí obce: běžná zástavba, rezidenční čtvrť, náměstí, přilehlé ulice. Případně je třeba řešit co nejlepší propojení budovy s obcí: bezbariérové cesty, chodníky, přístupná zahrada, kavárna Obyvatelé domova a jejich příbuzní by měli mít možnost účastnit se života obce, využívat místních služeb.</w:t>
      </w:r>
    </w:p>
    <w:p w14:paraId="488EB256" w14:textId="77777777" w:rsidR="004A713E" w:rsidRPr="002B2A66" w:rsidRDefault="004A713E" w:rsidP="004A713E">
      <w:pPr>
        <w:spacing w:line="278" w:lineRule="auto"/>
      </w:pPr>
      <w:r w:rsidRPr="002B2A66">
        <w:t xml:space="preserve">Možnost pohybovat se samostatně nebo s dopomocí je klíčová pro dobrý život a kvalitní službu. Upřednostňujeme přízemní budovu/y. Interiér i exteriér domova musí lidem poskytnout možnost volného a bezpečného pohybu, možnost posezení a odpočinku (židle, křesla, lavičky v krátkých vzdálenostech uvnitř i vně budovy).  V případě, že by si např. velikost pozemku vynutila stavbu vícepodlažní budovy, je třeba </w:t>
      </w:r>
      <w:proofErr w:type="gramStart"/>
      <w:r w:rsidRPr="002B2A66">
        <w:t>zajistiti</w:t>
      </w:r>
      <w:proofErr w:type="gramEnd"/>
      <w:r w:rsidRPr="002B2A66">
        <w:t xml:space="preserve"> dostatek prostorných výtahů, které umožní zajištění provozu, ale také přístup klientů z vyšších pater do zahrady a dalších společných prostor.</w:t>
      </w:r>
    </w:p>
    <w:p w14:paraId="255C5ADF" w14:textId="77777777" w:rsidR="004A713E" w:rsidRPr="002B2A66" w:rsidRDefault="004A713E" w:rsidP="004A713E">
      <w:pPr>
        <w:spacing w:line="278" w:lineRule="auto"/>
      </w:pPr>
      <w:r w:rsidRPr="002B2A66">
        <w:rPr>
          <w:b/>
          <w:bCs/>
        </w:rPr>
        <w:t>Prostředí Domova</w:t>
      </w:r>
    </w:p>
    <w:p w14:paraId="6316D761" w14:textId="77777777" w:rsidR="004A713E" w:rsidRPr="002B2A66" w:rsidRDefault="004A713E" w:rsidP="004A713E">
      <w:pPr>
        <w:spacing w:line="278" w:lineRule="auto"/>
      </w:pPr>
      <w:r w:rsidRPr="002B2A66">
        <w:t>Cílem je zajistit lidem v Domově možnost žít v běžném, „domácím“ prostředí. Za zcela nevhodné považujeme řešení „nemocničního typu“- dlouhé tmavé chodby, z nichž se vstupuje do pokojů obyvatel doma. Doporučené uspořádání jednotky pro menší skupiny obyvatel. Počet obyvatel jedné jednotky/domácnosti by neměl přesahovat 12 osob. Příklad vhodného rozvržení jednotky nabízí např. následující nákres:</w:t>
      </w:r>
    </w:p>
    <w:p w14:paraId="7E51912E" w14:textId="77777777" w:rsidR="004A713E" w:rsidRPr="002B2A66" w:rsidRDefault="004A713E" w:rsidP="004A713E">
      <w:pPr>
        <w:spacing w:line="278" w:lineRule="auto"/>
      </w:pPr>
      <w:r w:rsidRPr="002B2A66">
        <w:t xml:space="preserve">Možným řešením může být účelné propojení uvedených jednotek (domácností) logisticky, komunikační chodbou. </w:t>
      </w:r>
    </w:p>
    <w:p w14:paraId="1A3B95F6" w14:textId="77777777" w:rsidR="004A713E" w:rsidRPr="002B2A66" w:rsidRDefault="004A713E" w:rsidP="004A713E">
      <w:pPr>
        <w:spacing w:line="278" w:lineRule="auto"/>
      </w:pPr>
      <w:r w:rsidRPr="002B2A66">
        <w:t>Celkově by v budově měly převažovat jednolůžkové pokoje s vlastním sociálním zařízením.</w:t>
      </w:r>
    </w:p>
    <w:p w14:paraId="7AF4C8C5" w14:textId="77777777" w:rsidR="004A713E" w:rsidRPr="002B2A66" w:rsidRDefault="004A713E" w:rsidP="004A713E">
      <w:pPr>
        <w:spacing w:line="278" w:lineRule="auto"/>
      </w:pPr>
      <w:r w:rsidRPr="002B2A66">
        <w:t xml:space="preserve">Velikost pokoje by měla umožnit umístění křesla, malého stolu, židle, lůžka, nočního stolku, skříně na osobní věci. Dle doporučení České </w:t>
      </w:r>
      <w:proofErr w:type="spellStart"/>
      <w:r w:rsidRPr="002B2A66">
        <w:t>alzheimerovské</w:t>
      </w:r>
      <w:proofErr w:type="spellEnd"/>
      <w:r w:rsidRPr="002B2A66">
        <w:t xml:space="preserve"> společnosti by jednolůžkový pokoj měl mít minimálně 12 m</w:t>
      </w:r>
      <w:r w:rsidRPr="002B2A66">
        <w:rPr>
          <w:vertAlign w:val="superscript"/>
        </w:rPr>
        <w:t>2</w:t>
      </w:r>
      <w:r w:rsidRPr="002B2A66">
        <w:t>, dvoulůžkový 20 m</w:t>
      </w:r>
      <w:r w:rsidRPr="002B2A66">
        <w:rPr>
          <w:vertAlign w:val="superscript"/>
        </w:rPr>
        <w:t>2</w:t>
      </w:r>
      <w:r w:rsidRPr="002B2A66">
        <w:t>, což odpovídá i doporučenému materiálně-technickému standardu MPSV.  Dveře do koupelny a WC by měly být v pokoji dobře viditelné, nesmí překážet ve volném pohybu, musí umožňovat průchod a pohyb na vozíku.</w:t>
      </w:r>
    </w:p>
    <w:p w14:paraId="1BC71592" w14:textId="77777777" w:rsidR="004A713E" w:rsidRPr="002B2A66" w:rsidRDefault="004A713E" w:rsidP="004A713E">
      <w:pPr>
        <w:spacing w:line="278" w:lineRule="auto"/>
      </w:pPr>
      <w:r w:rsidRPr="002B2A66">
        <w:t>Dveře z pokojů klientů by měly vést do společného prostoru (nebo by měl být společný prostor viditelný či snadno dosažitelný) – do obývacího pokoje vhodně propojeného s jídelnou a kuchyňským koutem. Jídelna a obývací pokoj / musí být dostatečně prostorný. V části jídelna jsou trvale umístěny stoly a židle. Lidé zde stolují, případně provádějí individuální či skupinové aktivity. Obývací pokoj umožňuje posezení v měkkém nábytku – křesla, sofa, poslouchání hudby, televize pospávání, drobné činnosti, povídání, péči o květiny, četbu, prohlížení fotografií apod. Vytvoření tohoto prostoru coby „srdce domova“ (dostatečně velkého pro 12 klientů a 3 i více pracovnic, případně návštěvu) v každé jednotce umožňuje lidem v domácnosti skutečně bydlet a „něco dělat“. Personál může prostor využívat k běžným denním činnostem i tzv. terapeutickým aktivitám a nemusí lidi doprovázet a převážet do vzdálených speciálních místností. Pracovnice přímé péče, terapeutky, návštěvy i lékař tak mohou docházet za lidmi „k nim domů“.</w:t>
      </w:r>
    </w:p>
    <w:p w14:paraId="3F933A03" w14:textId="77777777" w:rsidR="004A713E" w:rsidRPr="002B2A66" w:rsidRDefault="004A713E" w:rsidP="004A713E">
      <w:pPr>
        <w:spacing w:line="278" w:lineRule="auto"/>
      </w:pPr>
      <w:r w:rsidRPr="002B2A66">
        <w:lastRenderedPageBreak/>
        <w:t>Při plánování kuchyně a obývacích prostor je třeba projektovat dostatek místa a bezbariérový přístup, aby obyvatelé domácnosti mohli prostor užívat samostatně či s asistencí pracovnic (např. kolem stolů musí být dostatek místa pro pohyb minimálně 15 lidí – 12 klientů +3 pracovnice – z nichž mnozí se budou pohybovat na vozíku, nebo s chodítkem.)</w:t>
      </w:r>
    </w:p>
    <w:p w14:paraId="0E2552DE" w14:textId="77777777" w:rsidR="004A713E" w:rsidRDefault="004A713E" w:rsidP="004A713E">
      <w:pPr>
        <w:rPr>
          <w:i/>
          <w:iCs/>
        </w:rPr>
      </w:pPr>
    </w:p>
    <w:p w14:paraId="48E8D6F4" w14:textId="77777777" w:rsidR="004A713E" w:rsidRDefault="004A713E" w:rsidP="004A713E">
      <w:pPr>
        <w:rPr>
          <w:i/>
          <w:iCs/>
        </w:rPr>
      </w:pPr>
    </w:p>
    <w:p w14:paraId="278B3359" w14:textId="77777777" w:rsidR="004A713E" w:rsidRDefault="004A713E" w:rsidP="004A713E">
      <w:pPr>
        <w:rPr>
          <w:i/>
          <w:iCs/>
        </w:rPr>
      </w:pPr>
    </w:p>
    <w:p w14:paraId="223D959B" w14:textId="77777777" w:rsidR="004A713E" w:rsidRDefault="004A713E" w:rsidP="004A713E">
      <w:pPr>
        <w:rPr>
          <w:i/>
          <w:iCs/>
        </w:rPr>
      </w:pPr>
    </w:p>
    <w:p w14:paraId="2FA11E98" w14:textId="77777777" w:rsidR="004A713E" w:rsidRDefault="004A713E" w:rsidP="004A713E">
      <w:pPr>
        <w:rPr>
          <w:i/>
          <w:iCs/>
        </w:rPr>
      </w:pPr>
    </w:p>
    <w:p w14:paraId="531F8B67" w14:textId="77777777" w:rsidR="004A713E" w:rsidRDefault="004A713E" w:rsidP="004A713E">
      <w:pPr>
        <w:rPr>
          <w:i/>
          <w:iCs/>
        </w:rPr>
      </w:pPr>
    </w:p>
    <w:p w14:paraId="7C33D49E" w14:textId="77777777" w:rsidR="004A713E" w:rsidRDefault="004A713E" w:rsidP="004A713E">
      <w:pPr>
        <w:rPr>
          <w:i/>
          <w:iCs/>
        </w:rPr>
      </w:pPr>
    </w:p>
    <w:p w14:paraId="6B70A84F" w14:textId="77777777" w:rsidR="004A713E" w:rsidRDefault="004A713E" w:rsidP="004A713E">
      <w:pPr>
        <w:rPr>
          <w:i/>
          <w:iCs/>
        </w:rPr>
      </w:pPr>
    </w:p>
    <w:p w14:paraId="5BF5C2BA" w14:textId="77777777" w:rsidR="004A713E" w:rsidRDefault="004A713E" w:rsidP="004A713E">
      <w:pPr>
        <w:rPr>
          <w:i/>
          <w:iCs/>
        </w:rPr>
      </w:pPr>
    </w:p>
    <w:p w14:paraId="7E3C464A" w14:textId="77777777" w:rsidR="004A713E" w:rsidRDefault="004A713E" w:rsidP="004A713E">
      <w:pPr>
        <w:rPr>
          <w:i/>
          <w:iCs/>
        </w:rPr>
      </w:pPr>
    </w:p>
    <w:p w14:paraId="69617439" w14:textId="77777777" w:rsidR="004A713E" w:rsidRDefault="004A713E" w:rsidP="004A713E">
      <w:pPr>
        <w:rPr>
          <w:i/>
          <w:iCs/>
        </w:rPr>
      </w:pPr>
    </w:p>
    <w:p w14:paraId="5AB4ABE9" w14:textId="77777777" w:rsidR="004A713E" w:rsidRPr="002B2A66" w:rsidRDefault="004A713E" w:rsidP="004A713E">
      <w:pPr>
        <w:spacing w:line="278" w:lineRule="auto"/>
      </w:pPr>
    </w:p>
    <w:p w14:paraId="6033F77D" w14:textId="77777777" w:rsidR="004A713E" w:rsidRDefault="004A713E" w:rsidP="004A713E"/>
    <w:p w14:paraId="0339A3AF" w14:textId="77777777" w:rsidR="002263DF" w:rsidRDefault="002263DF">
      <w:r>
        <w:br w:type="page"/>
      </w:r>
    </w:p>
    <w:p w14:paraId="174049AF" w14:textId="78FB9CF9" w:rsidR="00371CE5" w:rsidRDefault="00371CE5" w:rsidP="00371CE5">
      <w:pPr>
        <w:jc w:val="both"/>
      </w:pPr>
    </w:p>
    <w:p w14:paraId="18577307" w14:textId="77777777" w:rsidR="00371CE5" w:rsidRDefault="00371CE5" w:rsidP="00371CE5">
      <w:pPr>
        <w:jc w:val="both"/>
      </w:pPr>
      <w:r>
        <w:t xml:space="preserve"> </w:t>
      </w:r>
      <w:r>
        <w:rPr>
          <w:noProof/>
        </w:rPr>
        <w:drawing>
          <wp:inline distT="0" distB="0" distL="0" distR="0" wp14:anchorId="6893B0A3" wp14:editId="36CCA2DB">
            <wp:extent cx="5762625" cy="47148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48CB6" w14:textId="77777777" w:rsidR="00371CE5" w:rsidRPr="002A025C" w:rsidRDefault="00371CE5" w:rsidP="00371CE5">
      <w:pPr>
        <w:jc w:val="both"/>
        <w:rPr>
          <w:i/>
          <w:iCs/>
        </w:rPr>
      </w:pPr>
      <w:r w:rsidRPr="002A025C">
        <w:rPr>
          <w:i/>
          <w:iCs/>
        </w:rPr>
        <w:t>5 – ložnice, 3 - společná kuchyň a jídelna, 2 – obývací pokoj, 4 –terapeutická a relaxační místnost, 7 – pracovna</w:t>
      </w:r>
    </w:p>
    <w:p w14:paraId="3A140C74" w14:textId="77777777" w:rsidR="00371CE5" w:rsidRDefault="00371CE5">
      <w:r>
        <w:br w:type="page"/>
      </w:r>
    </w:p>
    <w:p w14:paraId="6345A870" w14:textId="0FDE9260" w:rsidR="00371CE5" w:rsidRDefault="00371CE5" w:rsidP="00371CE5">
      <w:pPr>
        <w:jc w:val="both"/>
      </w:pPr>
      <w:r>
        <w:lastRenderedPageBreak/>
        <w:t xml:space="preserve">Další příklady z publikace </w:t>
      </w:r>
      <w:proofErr w:type="spellStart"/>
      <w:r w:rsidRPr="00371CE5">
        <w:t>The</w:t>
      </w:r>
      <w:proofErr w:type="spellEnd"/>
      <w:r w:rsidRPr="00371CE5">
        <w:t xml:space="preserve"> Green House Project</w:t>
      </w:r>
      <w:r>
        <w:t xml:space="preserve">: </w:t>
      </w:r>
      <w:proofErr w:type="spellStart"/>
      <w:r>
        <w:t>Guide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transforming</w:t>
      </w:r>
      <w:proofErr w:type="spellEnd"/>
      <w:r>
        <w:t xml:space="preserve"> long – term care:</w:t>
      </w:r>
    </w:p>
    <w:p w14:paraId="5650A09E" w14:textId="3F09F108" w:rsidR="0085132E" w:rsidRDefault="00371CE5" w:rsidP="00E856B1">
      <w:pPr>
        <w:jc w:val="center"/>
      </w:pPr>
      <w:r>
        <w:rPr>
          <w:noProof/>
        </w:rPr>
        <w:drawing>
          <wp:inline distT="0" distB="0" distL="0" distR="0" wp14:anchorId="0F55EA8D" wp14:editId="553E1702">
            <wp:extent cx="5181600" cy="4315140"/>
            <wp:effectExtent l="0" t="0" r="0" b="952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211" cy="4329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0666BC" wp14:editId="45FAD0BD">
            <wp:extent cx="4986024" cy="4219575"/>
            <wp:effectExtent l="0" t="0" r="508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579" cy="4271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B4A41A1" wp14:editId="00E081CD">
            <wp:extent cx="5626379" cy="4229100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552" cy="4236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5DDB04" wp14:editId="0E68F01B">
            <wp:extent cx="5862683" cy="4076700"/>
            <wp:effectExtent l="0" t="0" r="508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148" cy="407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7B3A3FB" wp14:editId="126D4E4F">
            <wp:extent cx="5753100" cy="4238625"/>
            <wp:effectExtent l="0" t="0" r="0" b="9525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00036C" wp14:editId="25AF2929">
            <wp:extent cx="5575900" cy="4495800"/>
            <wp:effectExtent l="0" t="0" r="635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062" cy="450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E63DB68" wp14:editId="6122F773">
            <wp:extent cx="5762625" cy="4286250"/>
            <wp:effectExtent l="0" t="0" r="9525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F3A1D0" wp14:editId="0872DBF7">
            <wp:extent cx="5972652" cy="4333875"/>
            <wp:effectExtent l="0" t="0" r="9525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433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78FB201" wp14:editId="22842193">
            <wp:extent cx="5876925" cy="4320123"/>
            <wp:effectExtent l="0" t="0" r="0" b="4445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825" cy="432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81D632" wp14:editId="3A3D9CB1">
            <wp:extent cx="5959975" cy="4314825"/>
            <wp:effectExtent l="0" t="0" r="3175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708" cy="4316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132E" w:rsidSect="008E0702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D51A3" w14:textId="77777777" w:rsidR="001137C0" w:rsidRDefault="001137C0" w:rsidP="002A025C">
      <w:pPr>
        <w:spacing w:after="0" w:line="240" w:lineRule="auto"/>
      </w:pPr>
      <w:r>
        <w:separator/>
      </w:r>
    </w:p>
  </w:endnote>
  <w:endnote w:type="continuationSeparator" w:id="0">
    <w:p w14:paraId="1F8FF071" w14:textId="77777777" w:rsidR="001137C0" w:rsidRDefault="001137C0" w:rsidP="002A0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25B72" w14:textId="77777777" w:rsidR="001137C0" w:rsidRDefault="001137C0" w:rsidP="002A025C">
      <w:pPr>
        <w:spacing w:after="0" w:line="240" w:lineRule="auto"/>
      </w:pPr>
      <w:r>
        <w:separator/>
      </w:r>
    </w:p>
  </w:footnote>
  <w:footnote w:type="continuationSeparator" w:id="0">
    <w:p w14:paraId="7C3B59E2" w14:textId="77777777" w:rsidR="001137C0" w:rsidRDefault="001137C0" w:rsidP="002A0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31CDD"/>
    <w:multiLevelType w:val="hybridMultilevel"/>
    <w:tmpl w:val="51CC5ADA"/>
    <w:lvl w:ilvl="0" w:tplc="F08AA3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D0FDE"/>
    <w:multiLevelType w:val="hybridMultilevel"/>
    <w:tmpl w:val="BB80C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A7273"/>
    <w:multiLevelType w:val="hybridMultilevel"/>
    <w:tmpl w:val="D1D8EA5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F4F3E4E"/>
    <w:multiLevelType w:val="hybridMultilevel"/>
    <w:tmpl w:val="F1DC2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137D0"/>
    <w:multiLevelType w:val="hybridMultilevel"/>
    <w:tmpl w:val="D9FAF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41E03"/>
    <w:multiLevelType w:val="hybridMultilevel"/>
    <w:tmpl w:val="0310E4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796176">
    <w:abstractNumId w:val="2"/>
  </w:num>
  <w:num w:numId="2" w16cid:durableId="1938099071">
    <w:abstractNumId w:val="5"/>
  </w:num>
  <w:num w:numId="3" w16cid:durableId="1349870292">
    <w:abstractNumId w:val="3"/>
  </w:num>
  <w:num w:numId="4" w16cid:durableId="947394834">
    <w:abstractNumId w:val="1"/>
  </w:num>
  <w:num w:numId="5" w16cid:durableId="1050110321">
    <w:abstractNumId w:val="4"/>
  </w:num>
  <w:num w:numId="6" w16cid:durableId="72275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A6"/>
    <w:rsid w:val="00045BFC"/>
    <w:rsid w:val="000B0078"/>
    <w:rsid w:val="000B575D"/>
    <w:rsid w:val="000F022A"/>
    <w:rsid w:val="00112B8A"/>
    <w:rsid w:val="001137C0"/>
    <w:rsid w:val="00172D75"/>
    <w:rsid w:val="001E5795"/>
    <w:rsid w:val="002263DF"/>
    <w:rsid w:val="002A025C"/>
    <w:rsid w:val="0031241F"/>
    <w:rsid w:val="00331234"/>
    <w:rsid w:val="00371CE5"/>
    <w:rsid w:val="003776C4"/>
    <w:rsid w:val="00493AE6"/>
    <w:rsid w:val="004A713E"/>
    <w:rsid w:val="004C5910"/>
    <w:rsid w:val="004E6F97"/>
    <w:rsid w:val="00516A5B"/>
    <w:rsid w:val="00522401"/>
    <w:rsid w:val="00537B51"/>
    <w:rsid w:val="005F09A6"/>
    <w:rsid w:val="006051CA"/>
    <w:rsid w:val="00701E12"/>
    <w:rsid w:val="00726DD5"/>
    <w:rsid w:val="00755C95"/>
    <w:rsid w:val="007834DE"/>
    <w:rsid w:val="0080798D"/>
    <w:rsid w:val="00810DA4"/>
    <w:rsid w:val="00831FC5"/>
    <w:rsid w:val="0085132E"/>
    <w:rsid w:val="00866915"/>
    <w:rsid w:val="008766C3"/>
    <w:rsid w:val="008A3659"/>
    <w:rsid w:val="008C3E9F"/>
    <w:rsid w:val="008E0702"/>
    <w:rsid w:val="0090295A"/>
    <w:rsid w:val="00912927"/>
    <w:rsid w:val="009224CE"/>
    <w:rsid w:val="00997051"/>
    <w:rsid w:val="009B1C6A"/>
    <w:rsid w:val="009D1BFC"/>
    <w:rsid w:val="009D53E7"/>
    <w:rsid w:val="009E04AF"/>
    <w:rsid w:val="00A01097"/>
    <w:rsid w:val="00A70480"/>
    <w:rsid w:val="00A77E68"/>
    <w:rsid w:val="00A90D81"/>
    <w:rsid w:val="00AB28B0"/>
    <w:rsid w:val="00B12B47"/>
    <w:rsid w:val="00BD3049"/>
    <w:rsid w:val="00C50104"/>
    <w:rsid w:val="00CF7EC1"/>
    <w:rsid w:val="00D25AEA"/>
    <w:rsid w:val="00DB2ACC"/>
    <w:rsid w:val="00DE7615"/>
    <w:rsid w:val="00DF4C66"/>
    <w:rsid w:val="00E27AC9"/>
    <w:rsid w:val="00E56014"/>
    <w:rsid w:val="00E856B1"/>
    <w:rsid w:val="00F003C8"/>
    <w:rsid w:val="00F01DAC"/>
    <w:rsid w:val="00FC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7B58C"/>
  <w15:chartTrackingRefBased/>
  <w15:docId w15:val="{6E933096-00B3-4A6F-99B4-F02A2F06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295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776C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776C4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0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022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77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7E68"/>
  </w:style>
  <w:style w:type="paragraph" w:styleId="Zpat">
    <w:name w:val="footer"/>
    <w:basedOn w:val="Normln"/>
    <w:link w:val="ZpatChar"/>
    <w:uiPriority w:val="99"/>
    <w:unhideWhenUsed/>
    <w:rsid w:val="00A77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7E68"/>
  </w:style>
  <w:style w:type="table" w:styleId="Svtltabulkasmkou1">
    <w:name w:val="Grid Table 1 Light"/>
    <w:basedOn w:val="Normlntabulka"/>
    <w:uiPriority w:val="46"/>
    <w:rsid w:val="00A77E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komente">
    <w:name w:val="annotation text"/>
    <w:basedOn w:val="Normln"/>
    <w:link w:val="TextkomenteChar"/>
    <w:uiPriority w:val="99"/>
    <w:semiHidden/>
    <w:unhideWhenUsed/>
    <w:rsid w:val="00A77E68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7E68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A77E68"/>
    <w:rPr>
      <w:sz w:val="16"/>
      <w:szCs w:val="16"/>
    </w:rPr>
  </w:style>
  <w:style w:type="table" w:styleId="Mkatabulky">
    <w:name w:val="Table Grid"/>
    <w:basedOn w:val="Normlntabulka"/>
    <w:uiPriority w:val="39"/>
    <w:rsid w:val="00DF4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4A71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1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7" Type="http://schemas.openxmlformats.org/officeDocument/2006/relationships/hyperlink" Target="https://eur01.safelinks.protection.outlook.com/?url=https%3A%2F%2Fdomovmysliborice.cz%2Fsluzba-oj%2Fdomov-pro-seniory-pomnenka-v-novem-meste-na-morave%2F&amp;data=05%7C02%7Cverny.lubos%40kr-jihomoravsky.cz%7C67a20709a95d40e30f0d08dd83fb3fdf%7C418bc0661b004aadad989ead95bb26a9%7C0%7C0%7C638811837322661536%7CUnknown%7CTWFpbGZsb3d8eyJFbXB0eU1hcGkiOnRydWUsIlYiOiIwLjAuMDAwMCIsIlAiOiJXaW4zMiIsIkFOIjoiTWFpbCIsIldUIjoyfQ%3D%3D%7C0%7C%7C%7C&amp;sdata=xDboyrOGdlVW%2BfnA4LvbELVzoD4KkZNBcoace7fFFHQ%3D&amp;reserved=0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986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Věrný Luboš</dc:creator>
  <cp:keywords/>
  <dc:description/>
  <cp:lastModifiedBy>Malásková Jitka</cp:lastModifiedBy>
  <cp:revision>3</cp:revision>
  <dcterms:created xsi:type="dcterms:W3CDTF">2025-05-29T10:00:00Z</dcterms:created>
  <dcterms:modified xsi:type="dcterms:W3CDTF">2025-05-29T10:00:00Z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VANA.JAKUB@kr-jihomoravsky.cz</vt:lpwstr>
  </property>
  <property fmtid="{D5CDD505-2E9C-101B-9397-08002B2CF9AE}" pid="5" name="MSIP_Label_690ebb53-23a2-471a-9c6e-17bd0d11311e_SetDate">
    <vt:lpwstr>2021-12-10T07:50:03.9371607Z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0d2b1837-d609-4380-a155-a707834bf30c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</Properties>
</file>