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36"/>
          <w:szCs w:val="36"/>
        </w:rPr>
        <w:t>POPTÁVKA - VÝZVA K PODÁNÍ NABÍDKY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 xml:space="preserve">Dovolujeme si vás požádat o cenovou nabídku na zakázku 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1" w:hanging="3"/>
        <w:jc w:val="center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„ZAJIŠTĚNÍ STRAV</w:t>
      </w:r>
      <w:r w:rsidR="00F72348">
        <w:rPr>
          <w:rFonts w:ascii="Poppins" w:eastAsia="Poppins" w:hAnsi="Poppins" w:cs="Poppins"/>
          <w:b/>
          <w:color w:val="000000"/>
          <w:sz w:val="28"/>
          <w:szCs w:val="28"/>
        </w:rPr>
        <w:t>OVÁNÍ PRO PŘÍMĚSTSKÉ TÁBORY 2025</w:t>
      </w:r>
      <w:r>
        <w:rPr>
          <w:rFonts w:ascii="Poppins" w:eastAsia="Poppins" w:hAnsi="Poppins" w:cs="Poppins"/>
          <w:b/>
          <w:color w:val="000000"/>
          <w:sz w:val="28"/>
          <w:szCs w:val="28"/>
        </w:rPr>
        <w:t xml:space="preserve"> – PRACOVIŠTĚ</w:t>
      </w:r>
      <w:r>
        <w:rPr>
          <w:rFonts w:ascii="Poppins" w:eastAsia="Poppins" w:hAnsi="Poppins" w:cs="Poppins"/>
          <w:b/>
          <w:color w:val="000000"/>
          <w:sz w:val="28"/>
          <w:szCs w:val="28"/>
          <w:highlight w:val="white"/>
        </w:rPr>
        <w:t xml:space="preserve"> LIDICKÁ“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Jedná se o zajištění obědů dle níže uvedené specifikace pro děti a dospělé, účastníky příměstských táborů ve městě Brně</w:t>
      </w:r>
      <w:r w:rsidR="00F72348">
        <w:rPr>
          <w:rFonts w:ascii="Poppins" w:eastAsia="Poppins" w:hAnsi="Poppins" w:cs="Poppins"/>
          <w:color w:val="000000"/>
          <w:sz w:val="22"/>
        </w:rPr>
        <w:t xml:space="preserve"> v průběhu července a srpna 2025</w:t>
      </w:r>
      <w:r>
        <w:rPr>
          <w:rFonts w:ascii="Poppins" w:eastAsia="Poppins" w:hAnsi="Poppins" w:cs="Poppins"/>
          <w:color w:val="000000"/>
          <w:sz w:val="22"/>
        </w:rPr>
        <w:t>. Každý všední den v </w:t>
      </w:r>
      <w:r>
        <w:rPr>
          <w:rFonts w:ascii="Poppins" w:eastAsia="Poppins" w:hAnsi="Poppins" w:cs="Poppins"/>
          <w:color w:val="000000"/>
          <w:sz w:val="22"/>
          <w:highlight w:val="white"/>
        </w:rPr>
        <w:t>11:30 až 13:00</w:t>
      </w:r>
      <w:r>
        <w:rPr>
          <w:rFonts w:ascii="Poppins" w:eastAsia="Poppins" w:hAnsi="Poppins" w:cs="Poppins"/>
          <w:color w:val="000000"/>
          <w:sz w:val="22"/>
        </w:rPr>
        <w:t xml:space="preserve">. Předpokládaný celkový počet porcí je </w:t>
      </w:r>
      <w:r>
        <w:rPr>
          <w:rFonts w:ascii="Poppins" w:eastAsia="Poppins" w:hAnsi="Poppins" w:cs="Poppins"/>
          <w:color w:val="000000"/>
          <w:sz w:val="22"/>
          <w:highlight w:val="white"/>
        </w:rPr>
        <w:t>cca 3 620</w:t>
      </w:r>
      <w:r>
        <w:rPr>
          <w:rFonts w:ascii="Poppins" w:eastAsia="Poppins" w:hAnsi="Poppins" w:cs="Poppins"/>
          <w:color w:val="000000"/>
          <w:sz w:val="22"/>
        </w:rPr>
        <w:t xml:space="preserve"> za celé období. 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Přesná specifikace termínů, časů, míst a kontaktních osob bude předána souhrnně ve smlouvě</w:t>
      </w:r>
      <w:r w:rsidR="00F72348">
        <w:rPr>
          <w:rFonts w:ascii="Poppins" w:eastAsia="Poppins" w:hAnsi="Poppins" w:cs="Poppins"/>
          <w:color w:val="000000"/>
          <w:sz w:val="22"/>
        </w:rPr>
        <w:t xml:space="preserve"> v červnu 2025</w:t>
      </w:r>
      <w:r>
        <w:rPr>
          <w:rFonts w:ascii="Poppins" w:eastAsia="Poppins" w:hAnsi="Poppins" w:cs="Poppins"/>
          <w:color w:val="000000"/>
          <w:sz w:val="22"/>
        </w:rPr>
        <w:t>, počet porcí na každý týden bude upřesněn kontaktní osobou vždy s týdenním předstihem e-mailem.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2"/>
        </w:rPr>
        <w:t>Požadujeme: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oddělený prostor pro děti - salonek či vyčleněný prostor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oběd se skládá z polévky a hlavního jídla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dětské porce (věk cca 7 -  12 let) i porce pro dospělé (pedagogický doprovod)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k dispozici bude pro děti voda nebo šťáva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doba výdeje obědů je 11.30 -</w:t>
      </w:r>
      <w:r w:rsidR="00F72348">
        <w:rPr>
          <w:rFonts w:ascii="Poppins" w:eastAsia="Poppins" w:hAnsi="Poppins" w:cs="Poppins"/>
          <w:color w:val="000000"/>
          <w:sz w:val="22"/>
        </w:rPr>
        <w:t xml:space="preserve"> 13.00 (podle počtů příměstských</w:t>
      </w:r>
      <w:r>
        <w:rPr>
          <w:rFonts w:ascii="Poppins" w:eastAsia="Poppins" w:hAnsi="Poppins" w:cs="Poppins"/>
          <w:color w:val="000000"/>
          <w:sz w:val="22"/>
        </w:rPr>
        <w:t xml:space="preserve"> táborů v jednotlivých dnech) 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odsouhlasení týdenního jídelníčku s možností úpravy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 xml:space="preserve">schopnost dodavatele reagovat na naše požadavky ohledně diet (bezlepková, mléčná, vegetariánská atd.) </w:t>
      </w:r>
    </w:p>
    <w:p w:rsidR="005911D4" w:rsidRDefault="00EF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velikost porcí: pro účely nabídky prosíme o cenu normované porce pro děti 8-17 let, následně může být součástí dodávky i porce menší (malé děti) a dospělá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AB0A43" w:rsidRDefault="00AB0A4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AB0A43" w:rsidRDefault="00AB0A4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AB0A43" w:rsidRDefault="00AB0A4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oppins" w:eastAsia="Poppins" w:hAnsi="Poppins" w:cs="Poppins"/>
          <w:color w:val="222222"/>
          <w:sz w:val="22"/>
          <w:highlight w:val="white"/>
        </w:rPr>
      </w:pPr>
      <w:r>
        <w:rPr>
          <w:rFonts w:ascii="Poppins" w:eastAsia="Poppins" w:hAnsi="Poppins" w:cs="Poppins"/>
          <w:b/>
          <w:color w:val="222222"/>
          <w:sz w:val="22"/>
          <w:highlight w:val="white"/>
        </w:rPr>
        <w:lastRenderedPageBreak/>
        <w:t xml:space="preserve">Termíny a předběžné počty obědů za </w:t>
      </w:r>
      <w:r w:rsidR="00CE0E34">
        <w:rPr>
          <w:rFonts w:ascii="Poppins" w:eastAsia="Poppins" w:hAnsi="Poppins" w:cs="Poppins"/>
          <w:b/>
          <w:color w:val="222222"/>
          <w:sz w:val="22"/>
          <w:highlight w:val="white"/>
        </w:rPr>
        <w:t>tý</w:t>
      </w:r>
      <w:r>
        <w:rPr>
          <w:rFonts w:ascii="Poppins" w:eastAsia="Poppins" w:hAnsi="Poppins" w:cs="Poppins"/>
          <w:b/>
          <w:color w:val="222222"/>
          <w:sz w:val="22"/>
          <w:highlight w:val="white"/>
        </w:rPr>
        <w:t>den (dětské + dospělé): 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oppins" w:eastAsia="Poppins" w:hAnsi="Poppins" w:cs="Poppins"/>
          <w:color w:val="000000"/>
          <w:sz w:val="24"/>
          <w:szCs w:val="24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b/>
          <w:color w:val="000000"/>
          <w:sz w:val="22"/>
        </w:rPr>
        <w:t>Červenec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30. 6. 2025 - 4. 7. 2025</w:t>
      </w:r>
      <w:r w:rsidRPr="00F72348">
        <w:rPr>
          <w:rFonts w:ascii="Poppins" w:eastAsia="Poppins" w:hAnsi="Poppins" w:cs="Poppins"/>
          <w:color w:val="000000"/>
          <w:sz w:val="22"/>
        </w:rPr>
        <w:tab/>
        <w:t>345 + 60 (4 PT)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7. 7. 2025 - 11. 7.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ab/>
        <w:t>275 + 45 (3 PT)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 xml:space="preserve">14. 7. 2025 - 18. 7. 2025 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>420 + 75 (5 PT)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21. 7. 2025 - 25. 7.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>455 + 75 (6 PT)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28. 7. 2025 - 1. 8.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ab/>
        <w:t>365 + 90 (6 PT)</w:t>
      </w:r>
    </w:p>
    <w:p w:rsidR="00F72348" w:rsidRDefault="00F72348" w:rsidP="00F72348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Times New Roman" w:hAnsi="Times New Roman" w:cs="Times New Roman"/>
          <w:color w:val="000000"/>
          <w:sz w:val="22"/>
        </w:rPr>
      </w:pPr>
    </w:p>
    <w:p w:rsidR="005911D4" w:rsidRDefault="00EF51F3" w:rsidP="00F72348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b/>
          <w:color w:val="000000"/>
          <w:sz w:val="22"/>
        </w:rPr>
        <w:t>Srpen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4. 8. 2025 - 8. 8.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ab/>
        <w:t>385 + 75 (5 PT)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11. 8. 2025 - 15. 8.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ab/>
        <w:t>185 + 30 (2 PT)</w:t>
      </w:r>
    </w:p>
    <w:p w:rsidR="00F72348" w:rsidRPr="00F72348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18. 8. 2025 - 22. 8.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>405 + 75 (5 PT)</w:t>
      </w:r>
    </w:p>
    <w:p w:rsidR="005911D4" w:rsidRDefault="00F72348" w:rsidP="00F7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 w:rsidRPr="00F72348">
        <w:rPr>
          <w:rFonts w:ascii="Poppins" w:eastAsia="Poppins" w:hAnsi="Poppins" w:cs="Poppins"/>
          <w:color w:val="000000"/>
          <w:sz w:val="22"/>
        </w:rPr>
        <w:t>25. 8. 2025 - 29. 8. 2025</w:t>
      </w:r>
      <w:r w:rsidRPr="00F72348">
        <w:rPr>
          <w:rFonts w:ascii="Poppins" w:eastAsia="Poppins" w:hAnsi="Poppins" w:cs="Poppins"/>
          <w:color w:val="000000"/>
          <w:sz w:val="22"/>
        </w:rPr>
        <w:tab/>
      </w:r>
      <w:r>
        <w:rPr>
          <w:rFonts w:ascii="Poppins" w:eastAsia="Poppins" w:hAnsi="Poppins" w:cs="Poppins"/>
          <w:color w:val="000000"/>
          <w:sz w:val="22"/>
        </w:rPr>
        <w:tab/>
      </w:r>
      <w:r w:rsidRPr="00F72348">
        <w:rPr>
          <w:rFonts w:ascii="Poppins" w:eastAsia="Poppins" w:hAnsi="Poppins" w:cs="Poppins"/>
          <w:color w:val="000000"/>
          <w:sz w:val="22"/>
        </w:rPr>
        <w:t>305 + 60 (4 PT)</w:t>
      </w:r>
    </w:p>
    <w:p w:rsidR="00F72348" w:rsidRDefault="00F72348" w:rsidP="00F72348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b/>
          <w:color w:val="000000"/>
          <w:sz w:val="22"/>
        </w:rPr>
        <w:t>Předpokládaný počet</w:t>
      </w:r>
      <w:r w:rsidR="00F72348">
        <w:rPr>
          <w:rFonts w:ascii="Poppins" w:eastAsia="Poppins" w:hAnsi="Poppins" w:cs="Poppins"/>
          <w:b/>
          <w:color w:val="000000"/>
          <w:sz w:val="22"/>
        </w:rPr>
        <w:t xml:space="preserve"> obědů za celé léto je cca 3 725</w:t>
      </w:r>
      <w:r>
        <w:rPr>
          <w:rFonts w:ascii="Poppins" w:eastAsia="Poppins" w:hAnsi="Poppins" w:cs="Poppins"/>
          <w:b/>
          <w:color w:val="000000"/>
          <w:sz w:val="22"/>
        </w:rPr>
        <w:t xml:space="preserve"> porcí</w:t>
      </w:r>
      <w:r w:rsidR="00F72348">
        <w:rPr>
          <w:rFonts w:ascii="Poppins" w:eastAsia="Poppins" w:hAnsi="Poppins" w:cs="Poppins"/>
          <w:color w:val="000000"/>
          <w:sz w:val="22"/>
        </w:rPr>
        <w:t xml:space="preserve"> z toho 585</w:t>
      </w:r>
      <w:r>
        <w:rPr>
          <w:rFonts w:ascii="Poppins" w:eastAsia="Poppins" w:hAnsi="Poppins" w:cs="Poppins"/>
          <w:color w:val="000000"/>
          <w:sz w:val="22"/>
        </w:rPr>
        <w:t xml:space="preserve"> porcí pro dos</w:t>
      </w:r>
      <w:r w:rsidR="00F72348">
        <w:rPr>
          <w:rFonts w:ascii="Poppins" w:eastAsia="Poppins" w:hAnsi="Poppins" w:cs="Poppins"/>
          <w:color w:val="000000"/>
          <w:sz w:val="22"/>
        </w:rPr>
        <w:t>pělé a cca 3 140 porcí pro děti</w:t>
      </w:r>
      <w:r>
        <w:rPr>
          <w:rFonts w:ascii="Poppins" w:eastAsia="Poppins" w:hAnsi="Poppins" w:cs="Poppins"/>
          <w:color w:val="000000"/>
          <w:sz w:val="22"/>
        </w:rPr>
        <w:t xml:space="preserve"> (7-12 let).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2"/>
        </w:rPr>
        <w:t>Platební podmínky:</w:t>
      </w:r>
      <w:r>
        <w:rPr>
          <w:rFonts w:ascii="Poppins" w:eastAsia="Poppins" w:hAnsi="Poppins" w:cs="Poppins"/>
          <w:color w:val="000000"/>
          <w:sz w:val="22"/>
        </w:rPr>
        <w:t xml:space="preserve"> 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 xml:space="preserve">Měsíční vyúčtování na základě faktury, vystavené dodavatelem do 10. dne následujícího měsíce. Faktura bude obsahovat rozpis počtů porcí dle velikosti, typu a místa dodání. Splatnost faktury 14 dnů. 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 xml:space="preserve"> 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b/>
          <w:color w:val="000000"/>
          <w:sz w:val="22"/>
        </w:rPr>
        <w:t>Zpracování nabídky: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- vyplněný nabídkový list s uvedením identifikačních údajů firmy a jednotkové ceny vč. DPH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>- ukázka vzorového týdenního jídelníčku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bookmarkStart w:id="0" w:name="_heading=h.gjdgxs" w:colFirst="0" w:colLast="0"/>
      <w:bookmarkEnd w:id="0"/>
      <w:r>
        <w:rPr>
          <w:rFonts w:ascii="Poppins" w:eastAsia="Poppins" w:hAnsi="Poppins" w:cs="Poppins"/>
          <w:color w:val="000000"/>
          <w:sz w:val="22"/>
        </w:rPr>
        <w:t xml:space="preserve">Nabídku podejte nejpozději do </w:t>
      </w:r>
      <w:r w:rsidR="00F72348">
        <w:rPr>
          <w:rFonts w:ascii="Poppins" w:eastAsia="Poppins" w:hAnsi="Poppins" w:cs="Poppins"/>
          <w:sz w:val="22"/>
        </w:rPr>
        <w:t>6</w:t>
      </w:r>
      <w:r w:rsidR="00F72348">
        <w:rPr>
          <w:rFonts w:ascii="Poppins" w:eastAsia="Poppins" w:hAnsi="Poppins" w:cs="Poppins"/>
          <w:color w:val="000000"/>
          <w:sz w:val="22"/>
        </w:rPr>
        <w:t>. června 2025</w:t>
      </w:r>
      <w:r>
        <w:rPr>
          <w:rFonts w:ascii="Poppins" w:eastAsia="Poppins" w:hAnsi="Poppins" w:cs="Poppins"/>
          <w:color w:val="000000"/>
          <w:sz w:val="22"/>
        </w:rPr>
        <w:t xml:space="preserve">, 13:00 hodin, a to v  elektronické podobě prostřednictvím elektronického nástroje E-ZAK pro zadávání veřejných zakázek </w:t>
      </w:r>
      <w:r>
        <w:rPr>
          <w:rFonts w:ascii="Poppins" w:eastAsia="Poppins" w:hAnsi="Poppins" w:cs="Poppins"/>
          <w:color w:val="000000"/>
          <w:sz w:val="22"/>
        </w:rPr>
        <w:lastRenderedPageBreak/>
        <w:t>Jihomoravsk</w:t>
      </w:r>
      <w:r w:rsidR="007E198A">
        <w:rPr>
          <w:rFonts w:ascii="Poppins" w:eastAsia="Poppins" w:hAnsi="Poppins" w:cs="Poppins"/>
          <w:color w:val="000000"/>
          <w:sz w:val="22"/>
        </w:rPr>
        <w:t xml:space="preserve">ého kraje dostupného na adrese: </w:t>
      </w:r>
      <w:r w:rsidR="001F6C60" w:rsidRPr="001F6C60">
        <w:rPr>
          <w:rFonts w:ascii="Poppins" w:eastAsia="Poppins" w:hAnsi="Poppins" w:cs="Poppins"/>
          <w:color w:val="000000"/>
          <w:sz w:val="22"/>
        </w:rPr>
        <w:t>https://zakazky.krajbezkorupce.cz/contract_display_40599.html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  <w:r>
        <w:rPr>
          <w:rFonts w:ascii="Poppins" w:eastAsia="Poppins" w:hAnsi="Poppins" w:cs="Poppins"/>
          <w:color w:val="000000"/>
          <w:sz w:val="22"/>
        </w:rPr>
        <w:t>Zadavatel účastníka upozorňuje, že pro plné využití všech možností elektronického nástroje E-ZAK je třeba provést a dokončit tzv. registraci dodavatele. Zavedl-li zadavatel účastníka do elektronického nástroje E-ZAK, uvede u něj jako kontaktní údaje takové, které získal jako veřejně přístupné, nebo jiné vhodné kontaktní údaje. Je povinností každého účastníka, aby před dokončením registrace do elektronického nástroje E-ZAK své kontaktní údaje zkontroloval a případně upravil či doplnil jiné. Podrobné informace o ovládání systému jsou případně dostupné v  uživatelské příručce (https://zakazky.krajbezkorupce.cz/data/manual/EZAK-Manual-Do davatele.pdf ).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 xml:space="preserve">V Brně dne </w:t>
      </w:r>
      <w:r w:rsidR="00DF7A9A">
        <w:rPr>
          <w:rFonts w:ascii="Poppins" w:eastAsia="Poppins" w:hAnsi="Poppins" w:cs="Poppins"/>
          <w:sz w:val="22"/>
        </w:rPr>
        <w:t>2. 6</w:t>
      </w:r>
      <w:bookmarkStart w:id="1" w:name="_GoBack"/>
      <w:bookmarkEnd w:id="1"/>
      <w:r w:rsidR="00F72348">
        <w:rPr>
          <w:rFonts w:ascii="Poppins" w:eastAsia="Poppins" w:hAnsi="Poppins" w:cs="Poppins"/>
          <w:color w:val="000000"/>
          <w:sz w:val="22"/>
        </w:rPr>
        <w:t>. 2025</w:t>
      </w: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5911D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 w:val="22"/>
        </w:rPr>
      </w:pP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ab/>
        <w:t>Jan Ondroušek</w:t>
      </w:r>
    </w:p>
    <w:p w:rsidR="005911D4" w:rsidRDefault="00EF51F3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after="60" w:line="276" w:lineRule="auto"/>
        <w:ind w:left="0" w:hanging="2"/>
        <w:jc w:val="both"/>
        <w:rPr>
          <w:rFonts w:ascii="Poppins" w:eastAsia="Poppins" w:hAnsi="Poppins" w:cs="Poppins"/>
          <w:color w:val="000000"/>
          <w:szCs w:val="18"/>
        </w:rPr>
      </w:pPr>
      <w:r>
        <w:rPr>
          <w:rFonts w:ascii="Poppins" w:eastAsia="Poppins" w:hAnsi="Poppins" w:cs="Poppins"/>
          <w:color w:val="000000"/>
          <w:sz w:val="22"/>
        </w:rPr>
        <w:tab/>
        <w:t>ředitel</w:t>
      </w:r>
    </w:p>
    <w:sectPr w:rsidR="00591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2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D4" w:rsidRDefault="008C5AD4">
      <w:pPr>
        <w:spacing w:line="240" w:lineRule="auto"/>
        <w:ind w:left="0" w:hanging="2"/>
      </w:pPr>
      <w:r>
        <w:separator/>
      </w:r>
    </w:p>
  </w:endnote>
  <w:endnote w:type="continuationSeparator" w:id="0">
    <w:p w:rsidR="008C5AD4" w:rsidRDefault="008C5A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2">
    <w:panose1 w:val="020B0503020204020204"/>
    <w:charset w:val="EE"/>
    <w:family w:val="swiss"/>
    <w:pitch w:val="variable"/>
    <w:sig w:usb0="800000EF" w:usb1="4000A4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48" w:rsidRDefault="00F72348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48" w:rsidRDefault="00F72348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48" w:rsidRDefault="00F72348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D4" w:rsidRDefault="008C5AD4">
      <w:pPr>
        <w:spacing w:line="240" w:lineRule="auto"/>
        <w:ind w:left="0" w:hanging="2"/>
      </w:pPr>
      <w:r>
        <w:separator/>
      </w:r>
    </w:p>
  </w:footnote>
  <w:footnote w:type="continuationSeparator" w:id="0">
    <w:p w:rsidR="008C5AD4" w:rsidRDefault="008C5A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48" w:rsidRDefault="00F72348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D4" w:rsidRDefault="00EF5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orbel" w:eastAsia="Corbel" w:hAnsi="Corbel" w:cs="Corbel"/>
        <w:color w:val="000000"/>
        <w:sz w:val="16"/>
        <w:szCs w:val="16"/>
      </w:rPr>
    </w:pPr>
    <w:r>
      <w:rPr>
        <w:rFonts w:ascii="Corbel" w:eastAsia="Corbel" w:hAnsi="Corbel" w:cs="Corbel"/>
        <w:noProof/>
        <w:color w:val="000000"/>
        <w:sz w:val="16"/>
        <w:szCs w:val="16"/>
        <w:lang w:eastAsia="cs-CZ"/>
      </w:rPr>
      <w:drawing>
        <wp:inline distT="0" distB="0" distL="114300" distR="114300">
          <wp:extent cx="1318260" cy="58483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26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D4" w:rsidRDefault="00EF51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orbel" w:eastAsia="Corbel" w:hAnsi="Corbel" w:cs="Corbel"/>
        <w:color w:val="000000"/>
        <w:sz w:val="16"/>
        <w:szCs w:val="16"/>
      </w:rPr>
    </w:pPr>
    <w:r>
      <w:rPr>
        <w:rFonts w:ascii="Corbel" w:eastAsia="Corbel" w:hAnsi="Corbel" w:cs="Corbel"/>
        <w:noProof/>
        <w:color w:val="000000"/>
        <w:sz w:val="16"/>
        <w:szCs w:val="16"/>
        <w:lang w:eastAsia="cs-CZ"/>
      </w:rPr>
      <w:drawing>
        <wp:inline distT="0" distB="0" distL="114300" distR="114300">
          <wp:extent cx="1354455" cy="595630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445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911D4" w:rsidRDefault="005911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orbel" w:eastAsia="Corbel" w:hAnsi="Corbel" w:cs="Corbe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32730"/>
    <w:multiLevelType w:val="multilevel"/>
    <w:tmpl w:val="09B26046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Nadpis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Nadpis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4"/>
    <w:rsid w:val="00057480"/>
    <w:rsid w:val="000A5FBB"/>
    <w:rsid w:val="001F6C60"/>
    <w:rsid w:val="005911D4"/>
    <w:rsid w:val="007E198A"/>
    <w:rsid w:val="008C5AD4"/>
    <w:rsid w:val="00AB0A43"/>
    <w:rsid w:val="00B31A65"/>
    <w:rsid w:val="00B96284"/>
    <w:rsid w:val="00CD0990"/>
    <w:rsid w:val="00CE0E34"/>
    <w:rsid w:val="00DF7A9A"/>
    <w:rsid w:val="00EF51F3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8F144"/>
  <w15:docId w15:val="{18A76B3C-540D-4DA1-8507-6C7E09F4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2" w:hAnsi="Corbel2" w:cs="Corbel2"/>
      <w:kern w:val="2"/>
      <w:position w:val="-1"/>
      <w:sz w:val="18"/>
      <w:szCs w:val="22"/>
      <w:lang w:eastAsia="zh-CN"/>
    </w:rPr>
  </w:style>
  <w:style w:type="paragraph" w:styleId="Nadpis1">
    <w:name w:val="heading 1"/>
    <w:basedOn w:val="Normln"/>
    <w:next w:val="Normln"/>
    <w:pPr>
      <w:keepNext/>
      <w:numPr>
        <w:numId w:val="1"/>
      </w:numPr>
      <w:spacing w:before="240" w:after="60"/>
      <w:ind w:left="-1" w:hanging="1"/>
    </w:pPr>
    <w:rPr>
      <w:rFonts w:cs="Arial"/>
      <w:b/>
      <w:bCs/>
      <w:sz w:val="30"/>
      <w:szCs w:val="32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0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sz w:val="22"/>
      <w:highlight w:val="yellow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/>
    </w:rPr>
  </w:style>
  <w:style w:type="character" w:customStyle="1" w:styleId="PodtitulChar">
    <w:name w:val="Podtitul Char"/>
    <w:rPr>
      <w:b/>
      <w:w w:val="100"/>
      <w:kern w:val="2"/>
      <w:position w:val="-1"/>
      <w:sz w:val="32"/>
      <w:szCs w:val="24"/>
      <w:effect w:val="none"/>
      <w:vertAlign w:val="baseline"/>
      <w:cs w:val="0"/>
      <w:em w:val="none"/>
      <w:lang w:bidi="hi-IN"/>
    </w:rPr>
  </w:style>
  <w:style w:type="character" w:customStyle="1" w:styleId="Odkaznakoment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komenteChar">
    <w:name w:val="Text komentáře Char"/>
    <w:rPr>
      <w:rFonts w:ascii="Corbel2" w:hAnsi="Corbel2" w:cs="Corbel2"/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Tahoma" w:hAnsi="Tahoma" w:cs="Tahoma"/>
      <w:w w:val="100"/>
      <w:kern w:val="2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edmtkomenteChar">
    <w:name w:val="Předmět komentáře Char"/>
    <w:rPr>
      <w:rFonts w:ascii="Corbel2" w:hAnsi="Corbel2" w:cs="Corbel2"/>
      <w:b/>
      <w:bCs/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widowControl w:val="0"/>
      <w:spacing w:after="120"/>
    </w:pPr>
    <w:rPr>
      <w:rFonts w:ascii="Times New Roman" w:eastAsia="DejaVu Sans" w:hAnsi="Times New Roman" w:cs="Lohit Hindi"/>
      <w:sz w:val="24"/>
      <w:szCs w:val="24"/>
      <w:lang w:bidi="hi-IN"/>
    </w:rPr>
  </w:style>
  <w:style w:type="paragraph" w:styleId="Seznam">
    <w:name w:val="List"/>
    <w:basedOn w:val="Zkladntext"/>
    <w:rPr>
      <w:rFonts w:ascii="Arial" w:hAnsi="Arial"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6"/>
    </w:rPr>
  </w:style>
  <w:style w:type="paragraph" w:customStyle="1" w:styleId="Podtitul">
    <w:name w:val="Podtitul"/>
    <w:basedOn w:val="Normln"/>
    <w:next w:val="Zkladntext"/>
    <w:pPr>
      <w:widowControl w:val="0"/>
      <w:jc w:val="center"/>
    </w:pPr>
    <w:rPr>
      <w:rFonts w:ascii="Times New Roman" w:eastAsia="DejaVu Sans" w:hAnsi="Times New Roman" w:cs="Lohit Hindi"/>
      <w:b/>
      <w:sz w:val="32"/>
      <w:szCs w:val="24"/>
      <w:lang w:bidi="hi-I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qFormat/>
    <w:pPr>
      <w:suppressAutoHyphens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h6OyjmwHB5lHRbVFs2CDbaAYg==">CgMxLjAyCGguZ2pkZ3hzOABqJwoUc3VnZ2VzdC5ycnAwNnE3cnY0aXYSD05pa29sYSBSZXBrb3bDoWonChRzdWdnZXN0LjIzcXF0enAwdWI5ahIPTmlrb2xhIFJlcGtvdsOhaicKFHN1Z2dlc3QuNzNpM3gxNGxlanViEg9OaWtvbGEgUmVwa292w6FyITE5WVZSdUNsMFJwbExVZURIN1lJLTZaV1JlVVVXaXB1dQ==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462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Hanca</dc:creator>
  <cp:lastModifiedBy>Libor Baxant</cp:lastModifiedBy>
  <cp:revision>9</cp:revision>
  <dcterms:created xsi:type="dcterms:W3CDTF">2020-06-04T11:14:00Z</dcterms:created>
  <dcterms:modified xsi:type="dcterms:W3CDTF">2025-06-02T11:23:00Z</dcterms:modified>
</cp:coreProperties>
</file>