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AD09007" w14:textId="79FF3FAB" w:rsidR="00B827EC" w:rsidRDefault="00176C97" w:rsidP="004F0AEF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0C504B">
        <w:rPr>
          <w:b/>
          <w:smallCaps/>
          <w:spacing w:val="20"/>
          <w:sz w:val="22"/>
          <w:szCs w:val="22"/>
        </w:rPr>
        <w:t xml:space="preserve"> </w:t>
      </w:r>
      <w:r w:rsidR="000C504B" w:rsidRPr="000C504B">
        <w:rPr>
          <w:b/>
          <w:smallCaps/>
          <w:spacing w:val="20"/>
          <w:sz w:val="22"/>
          <w:szCs w:val="22"/>
        </w:rPr>
        <w:t>II/425 ŽIDLOCHOVICE, OK</w:t>
      </w:r>
    </w:p>
    <w:p w14:paraId="503A8F50" w14:textId="77777777" w:rsidR="001E53D2" w:rsidRPr="000C504B" w:rsidRDefault="001E53D2" w:rsidP="004F0AEF">
      <w:pPr>
        <w:tabs>
          <w:tab w:val="left" w:pos="900"/>
        </w:tabs>
        <w:spacing w:before="120" w:after="120"/>
        <w:jc w:val="both"/>
        <w:rPr>
          <w:b/>
        </w:rPr>
      </w:pPr>
      <w:bookmarkStart w:id="0" w:name="_GoBack"/>
      <w:bookmarkEnd w:id="0"/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1E53D2" w14:paraId="54ED0A4C" w14:textId="77777777" w:rsidTr="000C504B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1E53D2" w:rsidRDefault="001E53D2" w:rsidP="001E53D2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4FA83ABA" w:rsidR="001E53D2" w:rsidRPr="00E712DD" w:rsidRDefault="001E53D2" w:rsidP="001E53D2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7 677 644,38</w:t>
            </w:r>
          </w:p>
        </w:tc>
      </w:tr>
      <w:tr w:rsidR="001E53D2" w14:paraId="3D2678EF" w14:textId="77777777" w:rsidTr="000C504B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1E53D2" w:rsidRDefault="001E53D2" w:rsidP="001E53D2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03E1DA79" w:rsidR="001E53D2" w:rsidRPr="00E712DD" w:rsidRDefault="001E53D2" w:rsidP="001E53D2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7 770 043,05</w:t>
            </w:r>
          </w:p>
        </w:tc>
      </w:tr>
      <w:tr w:rsidR="001E53D2" w14:paraId="6B222C22" w14:textId="77777777" w:rsidTr="000C504B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1E53D2" w:rsidRDefault="001E53D2" w:rsidP="001E53D2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0A8712D3" w:rsidR="001E53D2" w:rsidRPr="00E712DD" w:rsidRDefault="001E53D2" w:rsidP="001E53D2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7 908 897,06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2233F765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1E53D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1E53D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504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53D2"/>
    <w:rsid w:val="001E7414"/>
    <w:rsid w:val="001F4469"/>
    <w:rsid w:val="001F633A"/>
    <w:rsid w:val="0023347A"/>
    <w:rsid w:val="00237A38"/>
    <w:rsid w:val="00247C02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0351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0AEF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08C5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712DD"/>
    <w:rsid w:val="00E73D6A"/>
    <w:rsid w:val="00E81E7A"/>
    <w:rsid w:val="00E97F20"/>
    <w:rsid w:val="00EA2398"/>
    <w:rsid w:val="00EB42A9"/>
    <w:rsid w:val="00EB4927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89A26-318E-46FC-827C-B7DD4B3B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32</cp:revision>
  <cp:lastPrinted>2023-07-14T07:34:00Z</cp:lastPrinted>
  <dcterms:created xsi:type="dcterms:W3CDTF">2024-03-18T13:17:00Z</dcterms:created>
  <dcterms:modified xsi:type="dcterms:W3CDTF">2025-06-23T10:04:00Z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