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57" w:rsidRPr="00B00ED5" w:rsidRDefault="008C0057" w:rsidP="008C0057">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ÁJMŮ a o splnění podmínek Nařízení Rady (EU) 2022/576 ze dne 8. dubna 2022, kterým se mění nařízení (EU) č. 833/2014 o omezujících opatřeních vzhledem k činnostem Ruska destabilizujícím situaci na Ukrajině</w:t>
      </w:r>
    </w:p>
    <w:p w:rsidR="008C0057" w:rsidRPr="00E375DC" w:rsidRDefault="003E76FD" w:rsidP="00E375DC">
      <w:pPr>
        <w:spacing w:after="240"/>
        <w:jc w:val="center"/>
        <w:rPr>
          <w:rFonts w:ascii="Cambria" w:hAnsi="Cambria"/>
          <w:bCs/>
          <w:iCs/>
          <w:sz w:val="20"/>
          <w:szCs w:val="20"/>
        </w:rPr>
      </w:pPr>
      <w:r>
        <w:rPr>
          <w:rFonts w:ascii="Cambria" w:hAnsi="Cambria"/>
          <w:sz w:val="20"/>
          <w:szCs w:val="20"/>
        </w:rPr>
        <w:t>pr</w:t>
      </w:r>
      <w:r>
        <w:rPr>
          <w:rFonts w:ascii="Cambria" w:hAnsi="Cambria"/>
          <w:bCs/>
          <w:iCs/>
          <w:sz w:val="20"/>
          <w:szCs w:val="20"/>
        </w:rPr>
        <w:t xml:space="preserve">o </w:t>
      </w:r>
      <w:r w:rsidR="00B461F6">
        <w:rPr>
          <w:rFonts w:ascii="Cambria" w:hAnsi="Cambria"/>
          <w:bCs/>
          <w:iCs/>
          <w:sz w:val="20"/>
          <w:szCs w:val="20"/>
        </w:rPr>
        <w:t xml:space="preserve">veřejnou zakázku malého rozsahu na služby zadávanou </w:t>
      </w:r>
      <w:r w:rsidR="00861CE5">
        <w:rPr>
          <w:rFonts w:ascii="Cambria" w:hAnsi="Cambria"/>
          <w:bCs/>
          <w:iCs/>
          <w:sz w:val="20"/>
          <w:szCs w:val="20"/>
        </w:rPr>
        <w:t xml:space="preserve">v souladu s § </w:t>
      </w:r>
      <w:r w:rsidR="00B87DC9">
        <w:rPr>
          <w:rFonts w:ascii="Cambria" w:hAnsi="Cambria"/>
          <w:bCs/>
          <w:iCs/>
          <w:sz w:val="20"/>
          <w:szCs w:val="20"/>
        </w:rPr>
        <w:t>31</w:t>
      </w:r>
      <w:r w:rsidR="00861CE5">
        <w:rPr>
          <w:rFonts w:ascii="Cambria" w:hAnsi="Cambria"/>
          <w:bCs/>
          <w:iCs/>
          <w:sz w:val="20"/>
          <w:szCs w:val="20"/>
        </w:rPr>
        <w:t xml:space="preserve"> </w:t>
      </w:r>
      <w:r w:rsidR="00B461F6">
        <w:rPr>
          <w:rFonts w:ascii="Cambria" w:hAnsi="Cambria"/>
          <w:bCs/>
          <w:iCs/>
          <w:sz w:val="20"/>
          <w:szCs w:val="20"/>
        </w:rPr>
        <w:t xml:space="preserve">zákona </w:t>
      </w:r>
      <w:r>
        <w:rPr>
          <w:rFonts w:ascii="Cambria" w:hAnsi="Cambria"/>
          <w:bCs/>
          <w:iCs/>
          <w:sz w:val="20"/>
          <w:szCs w:val="20"/>
        </w:rPr>
        <w:t xml:space="preserve">č. 134/2016 Sb., o zadávání veřejných zakázek, ve znění pozdějších předpisů, </w:t>
      </w:r>
      <w:r w:rsidR="008C0057">
        <w:rPr>
          <w:rFonts w:ascii="Cambria" w:hAnsi="Cambria"/>
          <w:bCs/>
          <w:iCs/>
          <w:sz w:val="20"/>
          <w:szCs w:val="20"/>
        </w:rPr>
        <w:t>s názvem:</w:t>
      </w:r>
      <w:r w:rsidR="008C0057" w:rsidRPr="000C4DCC">
        <w:rPr>
          <w:rFonts w:ascii="Cambria" w:hAnsi="Cambria"/>
          <w:bCs/>
          <w:iCs/>
          <w:sz w:val="20"/>
          <w:szCs w:val="20"/>
        </w:rPr>
        <w:t xml:space="preserve"> </w:t>
      </w:r>
    </w:p>
    <w:p w:rsidR="008C0057" w:rsidRPr="00C96FBA" w:rsidRDefault="008C0057" w:rsidP="008C0057">
      <w:pPr>
        <w:keepNext/>
        <w:jc w:val="center"/>
        <w:outlineLvl w:val="1"/>
        <w:rPr>
          <w:rFonts w:ascii="Cambria" w:hAnsi="Cambria"/>
          <w:bCs/>
          <w:iCs/>
          <w:sz w:val="12"/>
          <w:szCs w:val="22"/>
          <w:lang w:eastAsia="en-US"/>
        </w:rPr>
      </w:pPr>
    </w:p>
    <w:p w:rsidR="003E76FD" w:rsidRPr="007F5906" w:rsidRDefault="003E76FD" w:rsidP="003E76FD">
      <w:pPr>
        <w:jc w:val="center"/>
        <w:rPr>
          <w:rFonts w:ascii="Cambria" w:hAnsi="Cambria"/>
          <w:b/>
          <w:sz w:val="28"/>
          <w:szCs w:val="28"/>
        </w:rPr>
      </w:pPr>
      <w:r w:rsidRPr="007F5906">
        <w:rPr>
          <w:rFonts w:ascii="Cambria" w:hAnsi="Cambria"/>
          <w:b/>
          <w:sz w:val="28"/>
          <w:szCs w:val="28"/>
        </w:rPr>
        <w:t>„</w:t>
      </w:r>
      <w:r w:rsidR="003A1CC5">
        <w:rPr>
          <w:rFonts w:ascii="Cambria" w:hAnsi="Cambria" w:cs="Arial"/>
          <w:b/>
          <w:bCs/>
          <w:sz w:val="28"/>
          <w:szCs w:val="28"/>
        </w:rPr>
        <w:t>Hala SŠTE Brno – energetické úspory – zpracování projektové dokumentace</w:t>
      </w:r>
      <w:r>
        <w:rPr>
          <w:rFonts w:ascii="Cambria" w:hAnsi="Cambria" w:cs="Arial"/>
          <w:b/>
          <w:bCs/>
          <w:sz w:val="28"/>
          <w:szCs w:val="28"/>
        </w:rPr>
        <w:t>“</w:t>
      </w:r>
    </w:p>
    <w:p w:rsidR="008C0057" w:rsidRPr="00C96FBA" w:rsidRDefault="008C0057" w:rsidP="008C0057">
      <w:pPr>
        <w:rPr>
          <w:rFonts w:ascii="Cambria" w:hAnsi="Cambria" w:cs="Calibri"/>
          <w:b/>
          <w:sz w:val="16"/>
        </w:rPr>
      </w:pPr>
    </w:p>
    <w:p w:rsidR="008C0057" w:rsidRPr="009C07A2" w:rsidRDefault="008C0057" w:rsidP="008C0057">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rsidR="008C0057" w:rsidRPr="00133745" w:rsidRDefault="008C0057" w:rsidP="008C0057">
      <w:pPr>
        <w:spacing w:line="276" w:lineRule="auto"/>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rsidR="008C0057" w:rsidRPr="00133745" w:rsidRDefault="008C0057" w:rsidP="008C0057">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6F03B1" w:rsidRPr="00A01340" w:rsidTr="00A33E13">
        <w:tc>
          <w:tcPr>
            <w:tcW w:w="9067" w:type="dxa"/>
            <w:shd w:val="clear" w:color="auto" w:fill="9CC2E5" w:themeFill="accent1" w:themeFillTint="99"/>
          </w:tcPr>
          <w:p w:rsidR="006F03B1" w:rsidRPr="006F03B1" w:rsidRDefault="006F03B1" w:rsidP="006F03B1">
            <w:pPr>
              <w:pStyle w:val="Nadpis2"/>
              <w:widowControl w:val="0"/>
              <w:numPr>
                <w:ilvl w:val="0"/>
                <w:numId w:val="0"/>
              </w:numPr>
              <w:outlineLvl w:val="1"/>
              <w:rPr>
                <w:b/>
                <w:lang w:val="cs-CZ"/>
              </w:rPr>
            </w:pPr>
            <w:r w:rsidRPr="006F03B1">
              <w:rPr>
                <w:b/>
                <w:lang w:val="cs-CZ"/>
              </w:rPr>
              <w:t>Čestné prohlášení o neexistenci střetu zájmů dle § 4b zákona o střetu zájmů</w:t>
            </w:r>
          </w:p>
        </w:tc>
      </w:tr>
    </w:tbl>
    <w:p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Účastník tímto prohlašuje, že neprokazuje kvalifikaci prostřednictvím poddodavatele, který je obchodní společností dle § 4b* zákona o střetu zájmů.</w:t>
      </w:r>
    </w:p>
    <w:p w:rsidR="006F03B1" w:rsidRDefault="006F03B1" w:rsidP="006F03B1">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Pr>
          <w:rFonts w:ascii="Cambria" w:hAnsi="Cambria"/>
          <w:i/>
          <w:color w:val="000000" w:themeColor="text1"/>
          <w:sz w:val="20"/>
          <w:szCs w:val="20"/>
        </w:rPr>
        <w:t xml:space="preserve">tě první zadat veřejnou zakázku malého rozsahu, </w:t>
      </w:r>
      <w:r w:rsidRPr="00A01340">
        <w:rPr>
          <w:rFonts w:ascii="Cambria" w:hAnsi="Cambria"/>
          <w:i/>
          <w:color w:val="000000" w:themeColor="text1"/>
          <w:sz w:val="20"/>
          <w:szCs w:val="20"/>
        </w:rPr>
        <w:t>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6F03B1" w:rsidRPr="00A01340" w:rsidTr="00A33E13">
        <w:tc>
          <w:tcPr>
            <w:tcW w:w="9067" w:type="dxa"/>
            <w:shd w:val="clear" w:color="auto" w:fill="9CC2E5" w:themeFill="accent1" w:themeFillTint="99"/>
          </w:tcPr>
          <w:p w:rsidR="006F03B1" w:rsidRPr="006F03B1" w:rsidRDefault="006F03B1" w:rsidP="006F03B1">
            <w:pPr>
              <w:pStyle w:val="Nadpis2"/>
              <w:widowControl w:val="0"/>
              <w:numPr>
                <w:ilvl w:val="0"/>
                <w:numId w:val="0"/>
              </w:numPr>
              <w:outlineLvl w:val="1"/>
              <w:rPr>
                <w:b/>
                <w:sz w:val="22"/>
                <w:szCs w:val="22"/>
                <w:lang w:val="cs-CZ"/>
              </w:rPr>
            </w:pPr>
            <w:r w:rsidRPr="006F03B1">
              <w:rPr>
                <w:b/>
                <w:lang w:val="cs-CZ"/>
              </w:rPr>
              <w:t>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rsidR="006F03B1" w:rsidRDefault="006F03B1" w:rsidP="006F03B1">
      <w:pPr>
        <w:widowControl w:val="0"/>
        <w:tabs>
          <w:tab w:val="left" w:pos="284"/>
        </w:tabs>
        <w:autoSpaceDE w:val="0"/>
        <w:autoSpaceDN w:val="0"/>
        <w:adjustRightInd w:val="0"/>
        <w:spacing w:before="240" w:after="240"/>
        <w:jc w:val="both"/>
        <w:rPr>
          <w:rFonts w:ascii="Cambria" w:hAnsi="Cambria"/>
          <w:bCs/>
          <w:color w:val="000000"/>
          <w:sz w:val="22"/>
          <w:szCs w:val="22"/>
        </w:rPr>
      </w:pPr>
      <w:r w:rsidRPr="00A01340">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rsidR="006F03B1" w:rsidRDefault="006F03B1" w:rsidP="006F03B1">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5A1B4B">
        <w:rPr>
          <w:rFonts w:ascii="Cambria" w:hAnsi="Cambria"/>
          <w:bCs/>
          <w:color w:val="000000"/>
          <w:sz w:val="22"/>
          <w:szCs w:val="22"/>
        </w:rPr>
        <w:t>on ani (i) kterýkoli z jeh</w:t>
      </w:r>
      <w:r>
        <w:rPr>
          <w:rFonts w:ascii="Cambria" w:hAnsi="Cambria"/>
          <w:bCs/>
          <w:color w:val="000000"/>
          <w:sz w:val="22"/>
          <w:szCs w:val="22"/>
        </w:rPr>
        <w:t xml:space="preserve">o poddodavatelů či jiných osob </w:t>
      </w:r>
      <w:r w:rsidRPr="005A1B4B">
        <w:rPr>
          <w:rFonts w:ascii="Cambria" w:hAnsi="Cambria"/>
          <w:bCs/>
          <w:color w:val="000000"/>
          <w:sz w:val="22"/>
          <w:szCs w:val="22"/>
        </w:rPr>
        <w:t>dle</w:t>
      </w:r>
      <w:r>
        <w:rPr>
          <w:rFonts w:ascii="Cambria" w:hAnsi="Cambria"/>
          <w:bCs/>
          <w:color w:val="000000"/>
          <w:sz w:val="22"/>
          <w:szCs w:val="22"/>
        </w:rPr>
        <w:t xml:space="preserve"> § 83 zákona</w:t>
      </w:r>
      <w:r w:rsidRPr="005A1B4B">
        <w:rPr>
          <w:rFonts w:ascii="Cambria" w:hAnsi="Cambria"/>
          <w:bCs/>
          <w:color w:val="000000"/>
          <w:sz w:val="22"/>
          <w:szCs w:val="22"/>
        </w:rPr>
        <w:t>, který se bude podílet na plnění této</w:t>
      </w:r>
      <w:r>
        <w:rPr>
          <w:rFonts w:ascii="Cambria" w:hAnsi="Cambria"/>
          <w:bCs/>
          <w:color w:val="000000"/>
          <w:sz w:val="22"/>
          <w:szCs w:val="22"/>
        </w:rPr>
        <w:t xml:space="preserve"> </w:t>
      </w:r>
      <w:r w:rsidRPr="005A1B4B">
        <w:rPr>
          <w:rFonts w:ascii="Cambria" w:hAnsi="Cambria"/>
          <w:bCs/>
          <w:color w:val="000000"/>
          <w:sz w:val="22"/>
          <w:szCs w:val="22"/>
        </w:rPr>
        <w:t>veřejné zakázky nebo (</w:t>
      </w:r>
      <w:proofErr w:type="spellStart"/>
      <w:r w:rsidRPr="005A1B4B">
        <w:rPr>
          <w:rFonts w:ascii="Cambria" w:hAnsi="Cambria"/>
          <w:bCs/>
          <w:color w:val="000000"/>
          <w:sz w:val="22"/>
          <w:szCs w:val="22"/>
        </w:rPr>
        <w:t>ii</w:t>
      </w:r>
      <w:proofErr w:type="spellEnd"/>
      <w:r w:rsidRPr="005A1B4B">
        <w:rPr>
          <w:rFonts w:ascii="Cambria" w:hAnsi="Cambria"/>
          <w:bCs/>
          <w:color w:val="000000"/>
          <w:sz w:val="22"/>
          <w:szCs w:val="22"/>
        </w:rPr>
        <w:t>) kterákoli z osob, jejichž kapacity bude dodavatel využívat, a to v rozsahu více než 10 % nabídkové ceny,</w:t>
      </w:r>
    </w:p>
    <w:p w:rsidR="006F03B1" w:rsidRPr="005A1B4B" w:rsidRDefault="006F03B1" w:rsidP="006F03B1">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rsidR="006F03B1" w:rsidRPr="00A01340"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není ruským státním příslušníkem, fyzickou či právnickou osobou nebo subjektem či orgánem se sídlem v Rusku,</w:t>
      </w:r>
    </w:p>
    <w:p w:rsidR="006F03B1" w:rsidRPr="00C926FD"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bookmarkStart w:id="0" w:name="_GoBack"/>
      <w:bookmarkEnd w:id="0"/>
      <w:r w:rsidRPr="00A01340">
        <w:rPr>
          <w:rFonts w:ascii="Cambria" w:hAnsi="Cambria"/>
          <w:bCs/>
          <w:color w:val="000000"/>
          <w:sz w:val="22"/>
          <w:szCs w:val="22"/>
        </w:rPr>
        <w:lastRenderedPageBreak/>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rsidR="006F03B1" w:rsidRPr="005A1B4B" w:rsidRDefault="006F03B1" w:rsidP="006F03B1">
      <w:pPr>
        <w:pStyle w:val="Odstavecseseznamem"/>
        <w:widowControl w:val="0"/>
        <w:numPr>
          <w:ilvl w:val="0"/>
          <w:numId w:val="2"/>
        </w:numPr>
        <w:spacing w:after="240"/>
        <w:ind w:left="1560" w:hanging="567"/>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rsidR="006F03B1" w:rsidRPr="00C926FD" w:rsidRDefault="006F03B1" w:rsidP="006F03B1">
      <w:pPr>
        <w:pStyle w:val="Odstavecseseznamem"/>
        <w:widowControl w:val="0"/>
        <w:spacing w:after="240"/>
        <w:ind w:left="1560"/>
        <w:jc w:val="both"/>
        <w:rPr>
          <w:rFonts w:ascii="Cambria" w:hAnsi="Cambria"/>
          <w:color w:val="000000"/>
          <w:sz w:val="22"/>
          <w:szCs w:val="22"/>
        </w:rPr>
      </w:pPr>
    </w:p>
    <w:p w:rsidR="006F03B1" w:rsidRDefault="006F03B1" w:rsidP="006F03B1">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5A1B4B">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Pr>
          <w:rStyle w:val="Znakapoznpodarou"/>
          <w:rFonts w:ascii="Cambria" w:hAnsi="Cambria"/>
          <w:bCs/>
          <w:color w:val="000000"/>
          <w:sz w:val="22"/>
          <w:szCs w:val="22"/>
        </w:rPr>
        <w:footnoteReference w:id="1"/>
      </w:r>
      <w:r w:rsidRPr="005A1B4B">
        <w:rPr>
          <w:rFonts w:ascii="Cambria" w:hAnsi="Cambria"/>
          <w:bCs/>
          <w:color w:val="000000"/>
          <w:sz w:val="22"/>
          <w:szCs w:val="22"/>
        </w:rPr>
        <w:t>;</w:t>
      </w:r>
    </w:p>
    <w:p w:rsidR="006F03B1" w:rsidRDefault="006F03B1" w:rsidP="006F03B1">
      <w:pPr>
        <w:pStyle w:val="Odstavecseseznamem"/>
        <w:widowControl w:val="0"/>
        <w:numPr>
          <w:ilvl w:val="0"/>
          <w:numId w:val="3"/>
        </w:numPr>
        <w:spacing w:after="120" w:line="276" w:lineRule="auto"/>
        <w:jc w:val="both"/>
        <w:rPr>
          <w:rFonts w:ascii="Cambria" w:hAnsi="Cambria"/>
          <w:bCs/>
          <w:color w:val="000000"/>
          <w:sz w:val="22"/>
          <w:szCs w:val="22"/>
        </w:rPr>
      </w:pPr>
      <w:r w:rsidRPr="005A1B4B">
        <w:rPr>
          <w:rFonts w:ascii="Cambria" w:hAnsi="Cambria"/>
          <w:bCs/>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w:t>
      </w:r>
      <w:r>
        <w:rPr>
          <w:rFonts w:ascii="Cambria" w:hAnsi="Cambria"/>
          <w:bCs/>
          <w:color w:val="000000"/>
          <w:sz w:val="22"/>
          <w:szCs w:val="22"/>
        </w:rPr>
        <w:t>v příloze nařízení Rady (EU) č. </w:t>
      </w:r>
      <w:r w:rsidRPr="005A1B4B">
        <w:rPr>
          <w:rFonts w:ascii="Cambria" w:hAnsi="Cambria"/>
          <w:bCs/>
          <w:color w:val="000000"/>
          <w:sz w:val="22"/>
          <w:szCs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sidRPr="005A1B4B">
        <w:rPr>
          <w:rFonts w:ascii="Cambria" w:hAnsi="Cambria"/>
          <w:bCs/>
          <w:color w:val="000000"/>
          <w:sz w:val="22"/>
          <w:szCs w:val="22"/>
        </w:rPr>
        <w:t>.</w:t>
      </w:r>
    </w:p>
    <w:p w:rsidR="006F03B1" w:rsidRDefault="006F03B1" w:rsidP="006F03B1">
      <w:pPr>
        <w:widowControl w:val="0"/>
        <w:spacing w:after="120" w:line="276" w:lineRule="auto"/>
        <w:jc w:val="both"/>
        <w:rPr>
          <w:rFonts w:ascii="Cambria" w:hAnsi="Cambria"/>
          <w:bCs/>
          <w:color w:val="000000"/>
          <w:sz w:val="22"/>
          <w:szCs w:val="22"/>
        </w:rPr>
      </w:pPr>
    </w:p>
    <w:p w:rsidR="006F03B1" w:rsidRPr="005A1B4B" w:rsidRDefault="006F03B1" w:rsidP="006F03B1">
      <w:pPr>
        <w:widowControl w:val="0"/>
        <w:spacing w:after="120" w:line="276" w:lineRule="auto"/>
        <w:jc w:val="both"/>
        <w:rPr>
          <w:rFonts w:ascii="Cambria" w:hAnsi="Cambria"/>
          <w:bCs/>
          <w:color w:val="000000"/>
          <w:sz w:val="22"/>
          <w:szCs w:val="22"/>
        </w:rPr>
      </w:pPr>
      <w:r>
        <w:rPr>
          <w:rFonts w:ascii="Cambria" w:hAnsi="Cambria"/>
          <w:bCs/>
          <w:color w:val="000000"/>
          <w:sz w:val="22"/>
          <w:szCs w:val="22"/>
        </w:rPr>
        <w:t xml:space="preserve">V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Pr>
          <w:rFonts w:ascii="Cambria" w:hAnsi="Cambria" w:cs="Cambria"/>
          <w:bCs/>
          <w:snapToGrid w:val="0"/>
          <w:sz w:val="22"/>
          <w:szCs w:val="22"/>
        </w:rPr>
        <w:t xml:space="preserve"> </w:t>
      </w:r>
      <w:r>
        <w:rPr>
          <w:rFonts w:ascii="Cambria" w:hAnsi="Cambria"/>
          <w:bCs/>
          <w:color w:val="000000"/>
          <w:sz w:val="22"/>
          <w:szCs w:val="22"/>
        </w:rPr>
        <w:t xml:space="preserve">dne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rsidR="006F03B1" w:rsidRPr="00A01340" w:rsidRDefault="006F03B1" w:rsidP="006F03B1">
      <w:pPr>
        <w:widowControl w:val="0"/>
        <w:spacing w:after="120" w:line="276" w:lineRule="auto"/>
        <w:ind w:left="3540" w:firstLine="708"/>
        <w:rPr>
          <w:rFonts w:ascii="Cambria" w:hAnsi="Cambria"/>
          <w:bCs/>
          <w:color w:val="000000"/>
          <w:sz w:val="22"/>
          <w:szCs w:val="22"/>
        </w:rPr>
      </w:pPr>
      <w:r w:rsidRPr="00A01340">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D9884B4471A4493D9DBAA097CEF72DAD"/>
        </w:placeholder>
        <w:showingPlcHdr/>
      </w:sdtPr>
      <w:sdtEndPr/>
      <w:sdtContent>
        <w:p w:rsidR="006F03B1" w:rsidRPr="009C07A2" w:rsidRDefault="006F03B1" w:rsidP="006F03B1">
          <w:pPr>
            <w:jc w:val="right"/>
            <w:rPr>
              <w:rFonts w:ascii="Cambria" w:hAnsi="Cambria" w:cstheme="minorHAnsi"/>
              <w:color w:val="000000"/>
              <w:sz w:val="22"/>
              <w:szCs w:val="22"/>
              <w:lang w:eastAsia="en-US"/>
            </w:rPr>
          </w:pPr>
          <w:r w:rsidRPr="00A01340">
            <w:rPr>
              <w:rFonts w:ascii="Cambria" w:hAnsi="Cambria"/>
              <w:bCs/>
              <w:color w:val="000000"/>
              <w:sz w:val="22"/>
              <w:szCs w:val="22"/>
              <w:highlight w:val="yellow"/>
            </w:rPr>
            <w:t>Účastník, případně osoba oprávněná jednat za účastníka</w:t>
          </w:r>
        </w:p>
      </w:sdtContent>
    </w:sdt>
    <w:p w:rsidR="00473BA1" w:rsidRDefault="00473BA1"/>
    <w:sectPr w:rsidR="00473B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B1" w:rsidRDefault="006F03B1" w:rsidP="006F03B1">
      <w:r>
        <w:separator/>
      </w:r>
    </w:p>
  </w:endnote>
  <w:endnote w:type="continuationSeparator" w:id="0">
    <w:p w:rsidR="006F03B1" w:rsidRDefault="006F03B1" w:rsidP="006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B1" w:rsidRDefault="006F03B1" w:rsidP="006F03B1">
      <w:r>
        <w:separator/>
      </w:r>
    </w:p>
  </w:footnote>
  <w:footnote w:type="continuationSeparator" w:id="0">
    <w:p w:rsidR="006F03B1" w:rsidRDefault="006F03B1" w:rsidP="006F03B1">
      <w:r>
        <w:continuationSeparator/>
      </w:r>
    </w:p>
  </w:footnote>
  <w:footnote w:id="1">
    <w:p w:rsidR="006F03B1" w:rsidRDefault="006F03B1" w:rsidP="006F03B1">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E"/>
    <w:rsid w:val="003918BF"/>
    <w:rsid w:val="003A1CC5"/>
    <w:rsid w:val="003E76FD"/>
    <w:rsid w:val="0044293C"/>
    <w:rsid w:val="00473BA1"/>
    <w:rsid w:val="00482989"/>
    <w:rsid w:val="006F03B1"/>
    <w:rsid w:val="0075333E"/>
    <w:rsid w:val="00807097"/>
    <w:rsid w:val="00826075"/>
    <w:rsid w:val="00861CE5"/>
    <w:rsid w:val="008C0057"/>
    <w:rsid w:val="00941EC5"/>
    <w:rsid w:val="00965F4A"/>
    <w:rsid w:val="00B461F6"/>
    <w:rsid w:val="00B87DC9"/>
    <w:rsid w:val="00E37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0CEB-661E-498E-BB94-F694C31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05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8C0057"/>
    <w:pPr>
      <w:numPr>
        <w:numId w:val="1"/>
      </w:numPr>
      <w:pBdr>
        <w:bottom w:val="single" w:sz="8" w:space="1" w:color="FF0000"/>
      </w:pBdr>
      <w:spacing w:after="200" w:line="276" w:lineRule="auto"/>
      <w:jc w:val="center"/>
      <w:outlineLvl w:val="0"/>
    </w:pPr>
    <w:rPr>
      <w:rFonts w:ascii="Cambria" w:eastAsia="Calibri" w:hAnsi="Cambria"/>
      <w:b/>
      <w:bCs/>
      <w:sz w:val="28"/>
      <w:szCs w:val="28"/>
      <w:lang w:val="sk-SK" w:eastAsia="en-US"/>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8C0057"/>
    <w:pPr>
      <w:numPr>
        <w:ilvl w:val="1"/>
        <w:numId w:val="1"/>
      </w:numPr>
      <w:spacing w:after="200" w:line="276" w:lineRule="auto"/>
      <w:jc w:val="both"/>
      <w:outlineLvl w:val="1"/>
    </w:pPr>
    <w:rPr>
      <w:rFonts w:ascii="Cambria" w:eastAsia="Calibri" w:hAnsi="Cambria"/>
      <w:lang w:val="sk-SK" w:eastAsia="en-US"/>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adpis2"/>
    <w:next w:val="Normln"/>
    <w:link w:val="Nadpis3Char"/>
    <w:uiPriority w:val="9"/>
    <w:qFormat/>
    <w:rsid w:val="008C0057"/>
    <w:pPr>
      <w:numPr>
        <w:ilvl w:val="2"/>
      </w:numPr>
      <w:outlineLvl w:val="2"/>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8C0057"/>
    <w:pPr>
      <w:keepNext/>
      <w:keepLines/>
      <w:numPr>
        <w:ilvl w:val="5"/>
        <w:numId w:val="1"/>
      </w:numPr>
      <w:spacing w:before="200" w:line="276" w:lineRule="auto"/>
      <w:outlineLvl w:val="5"/>
    </w:pPr>
    <w:rPr>
      <w:rFonts w:ascii="Cambria" w:hAnsi="Cambria"/>
      <w:i/>
      <w:iCs/>
      <w:color w:val="243F60"/>
      <w:sz w:val="20"/>
      <w:szCs w:val="20"/>
      <w:lang w:val="sk-SK" w:eastAsia="en-US"/>
    </w:rPr>
  </w:style>
  <w:style w:type="paragraph" w:styleId="Nadpis7">
    <w:name w:val="heading 7"/>
    <w:basedOn w:val="Normln"/>
    <w:next w:val="Normln"/>
    <w:link w:val="Nadpis7Char"/>
    <w:uiPriority w:val="9"/>
    <w:qFormat/>
    <w:rsid w:val="008C0057"/>
    <w:pPr>
      <w:keepNext/>
      <w:keepLines/>
      <w:numPr>
        <w:ilvl w:val="6"/>
        <w:numId w:val="1"/>
      </w:numPr>
      <w:spacing w:before="200" w:line="276" w:lineRule="auto"/>
      <w:outlineLvl w:val="6"/>
    </w:pPr>
    <w:rPr>
      <w:rFonts w:ascii="Cambria" w:hAnsi="Cambria"/>
      <w:i/>
      <w:iCs/>
      <w:color w:val="404040"/>
      <w:sz w:val="20"/>
      <w:szCs w:val="20"/>
      <w:lang w:val="sk-SK" w:eastAsia="en-US"/>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8C0057"/>
    <w:pPr>
      <w:keepNext/>
      <w:keepLines/>
      <w:numPr>
        <w:ilvl w:val="7"/>
        <w:numId w:val="1"/>
      </w:numPr>
      <w:spacing w:before="200" w:line="276" w:lineRule="auto"/>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qFormat/>
    <w:rsid w:val="008C0057"/>
    <w:pPr>
      <w:keepNext/>
      <w:keepLines/>
      <w:numPr>
        <w:ilvl w:val="8"/>
        <w:numId w:val="1"/>
      </w:numPr>
      <w:spacing w:before="200" w:line="276" w:lineRule="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8C0057"/>
    <w:rPr>
      <w:rFonts w:ascii="Cambria" w:eastAsia="Calibri" w:hAnsi="Cambria" w:cs="Times New Roman"/>
      <w:b/>
      <w:bCs/>
      <w:sz w:val="28"/>
      <w:szCs w:val="28"/>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8C0057"/>
    <w:rPr>
      <w:rFonts w:ascii="Cambria" w:eastAsia="Calibri" w:hAnsi="Cambria" w:cs="Times New Roman"/>
      <w:sz w:val="24"/>
      <w:szCs w:val="24"/>
      <w:lang w:val="sk-SK"/>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8C0057"/>
    <w:rPr>
      <w:rFonts w:ascii="Cambria" w:eastAsia="Calibri" w:hAnsi="Cambria" w:cs="Times New Roman"/>
      <w:sz w:val="24"/>
      <w:szCs w:val="24"/>
      <w:lang w:val="sk-SK"/>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8C0057"/>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8C0057"/>
    <w:rPr>
      <w:rFonts w:ascii="Cambria" w:eastAsia="Times New Roman" w:hAnsi="Cambria" w:cs="Times New Roman"/>
      <w:i/>
      <w:iCs/>
      <w:color w:val="404040"/>
      <w:sz w:val="20"/>
      <w:szCs w:val="20"/>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8C0057"/>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8C0057"/>
    <w:rPr>
      <w:rFonts w:ascii="Cambria" w:eastAsia="Times New Roman" w:hAnsi="Cambria" w:cs="Times New Roman"/>
      <w:i/>
      <w:iCs/>
      <w:color w:val="404040"/>
      <w:sz w:val="20"/>
      <w:szCs w:val="20"/>
      <w:lang w:val="sk-SK"/>
    </w:rPr>
  </w:style>
  <w:style w:type="table" w:styleId="Mkatabulky">
    <w:name w:val="Table Grid"/>
    <w:basedOn w:val="Normlntabulka"/>
    <w:uiPriority w:val="59"/>
    <w:rsid w:val="008C005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8C0057"/>
    <w:pPr>
      <w:ind w:left="720"/>
      <w:contextualSpacing/>
    </w:p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basedOn w:val="Standardnpsmoodstavce"/>
    <w:link w:val="Odstavecseseznamem"/>
    <w:uiPriority w:val="34"/>
    <w:qFormat/>
    <w:locked/>
    <w:rsid w:val="008C0057"/>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F03B1"/>
    <w:rPr>
      <w:sz w:val="20"/>
      <w:szCs w:val="20"/>
    </w:rPr>
  </w:style>
  <w:style w:type="character" w:customStyle="1" w:styleId="TextpoznpodarouChar">
    <w:name w:val="Text pozn. pod čarou Char"/>
    <w:basedOn w:val="Standardnpsmoodstavce"/>
    <w:link w:val="Textpoznpodarou"/>
    <w:uiPriority w:val="99"/>
    <w:semiHidden/>
    <w:rsid w:val="006F03B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F03B1"/>
    <w:rPr>
      <w:vertAlign w:val="superscript"/>
    </w:rPr>
  </w:style>
  <w:style w:type="character" w:styleId="Hypertextovodkaz">
    <w:name w:val="Hyperlink"/>
    <w:basedOn w:val="Standardnpsmoodstavce"/>
    <w:uiPriority w:val="99"/>
    <w:semiHidden/>
    <w:unhideWhenUsed/>
    <w:rsid w:val="006F0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84B4471A4493D9DBAA097CEF72DAD"/>
        <w:category>
          <w:name w:val="Obecné"/>
          <w:gallery w:val="placeholder"/>
        </w:category>
        <w:types>
          <w:type w:val="bbPlcHdr"/>
        </w:types>
        <w:behaviors>
          <w:behavior w:val="content"/>
        </w:behaviors>
        <w:guid w:val="{9606D6EE-2C84-4F96-866E-DC68FE13CA37}"/>
      </w:docPartPr>
      <w:docPartBody>
        <w:p w:rsidR="00192A15" w:rsidRDefault="00887702" w:rsidP="00887702">
          <w:pPr>
            <w:pStyle w:val="D9884B4471A4493D9DBAA097CEF72DAD"/>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AC"/>
    <w:rsid w:val="00192A15"/>
    <w:rsid w:val="005B5BAC"/>
    <w:rsid w:val="00887702"/>
    <w:rsid w:val="00E8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3A9F6F25AF42C9ABFB0B16B1768EA5">
    <w:name w:val="0C3A9F6F25AF42C9ABFB0B16B1768EA5"/>
    <w:rsid w:val="005B5BAC"/>
  </w:style>
  <w:style w:type="paragraph" w:customStyle="1" w:styleId="D9884B4471A4493D9DBAA097CEF72DAD">
    <w:name w:val="D9884B4471A4493D9DBAA097CEF72DAD"/>
    <w:rsid w:val="00887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582</Words>
  <Characters>3437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Lacková</dc:creator>
  <cp:keywords/>
  <dc:description/>
  <cp:lastModifiedBy>Michaela Lacková</cp:lastModifiedBy>
  <cp:revision>15</cp:revision>
  <dcterms:created xsi:type="dcterms:W3CDTF">2023-03-20T14:04:00Z</dcterms:created>
  <dcterms:modified xsi:type="dcterms:W3CDTF">2025-06-17T13:55:00Z</dcterms:modified>
</cp:coreProperties>
</file>