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7B4E1402" w:rsidR="00DE0028" w:rsidRDefault="00EA6235" w:rsidP="00F61503">
      <w:pPr>
        <w:ind w:left="567"/>
        <w:rPr>
          <w:rFonts w:asciiTheme="minorHAnsi" w:hAnsiTheme="minorHAnsi" w:cstheme="minorHAnsi"/>
          <w:b/>
          <w:color w:val="000000"/>
          <w:szCs w:val="22"/>
        </w:rPr>
      </w:pPr>
      <w:r w:rsidRPr="00EA6235">
        <w:rPr>
          <w:rFonts w:asciiTheme="minorHAnsi" w:hAnsiTheme="minorHAnsi" w:cstheme="minorHAnsi"/>
          <w:b/>
          <w:color w:val="000000"/>
          <w:szCs w:val="22"/>
        </w:rPr>
        <w:t>Střední škola polytechnická Kyjov, příspěvková organizace</w:t>
      </w:r>
    </w:p>
    <w:p w14:paraId="67FDFFF4" w14:textId="5AE13400"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A6235" w:rsidRPr="00EA6235">
        <w:rPr>
          <w:rFonts w:asciiTheme="minorHAnsi" w:hAnsiTheme="minorHAnsi" w:cstheme="minorHAnsi"/>
          <w:szCs w:val="22"/>
        </w:rPr>
        <w:t xml:space="preserve">RNDr. Petrem </w:t>
      </w:r>
      <w:proofErr w:type="spellStart"/>
      <w:r w:rsidR="00EA6235" w:rsidRPr="00EA6235">
        <w:rPr>
          <w:rFonts w:asciiTheme="minorHAnsi" w:hAnsiTheme="minorHAnsi" w:cstheme="minorHAnsi"/>
          <w:szCs w:val="22"/>
        </w:rPr>
        <w:t>Koišem</w:t>
      </w:r>
      <w:proofErr w:type="spellEnd"/>
      <w:r w:rsidR="00EA6235" w:rsidRPr="00EA6235">
        <w:rPr>
          <w:rFonts w:asciiTheme="minorHAnsi" w:hAnsiTheme="minorHAnsi" w:cstheme="minorHAnsi"/>
          <w:szCs w:val="22"/>
        </w:rPr>
        <w:t>, Ph.D., ředitelem</w:t>
      </w:r>
    </w:p>
    <w:p w14:paraId="5B640ABE" w14:textId="0E0917A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A6235" w:rsidRPr="00EA6235">
        <w:rPr>
          <w:rFonts w:asciiTheme="minorHAnsi" w:hAnsiTheme="minorHAnsi" w:cstheme="minorHAnsi"/>
          <w:szCs w:val="22"/>
          <w:lang w:eastAsia="en-US" w:bidi="en-US"/>
        </w:rPr>
        <w:t>Havlíčkova 1223/17, 697 01 Kyjov</w:t>
      </w:r>
    </w:p>
    <w:p w14:paraId="27FD038D" w14:textId="3E56B3F7"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A6235" w:rsidRPr="00EA6235">
        <w:rPr>
          <w:rFonts w:asciiTheme="minorHAnsi" w:hAnsiTheme="minorHAnsi" w:cstheme="minorHAnsi"/>
          <w:szCs w:val="22"/>
        </w:rPr>
        <w:t>00053163</w:t>
      </w:r>
    </w:p>
    <w:p w14:paraId="76BB3E0C" w14:textId="62A0C582"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A6235" w:rsidRPr="00EA6235">
        <w:rPr>
          <w:rFonts w:asciiTheme="minorHAnsi" w:hAnsiTheme="minorHAnsi" w:cstheme="minorHAnsi"/>
          <w:szCs w:val="22"/>
        </w:rPr>
        <w:t>CZ00053163</w:t>
      </w:r>
    </w:p>
    <w:p w14:paraId="307DFA9C" w14:textId="4C7FAFAD"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EA6235">
        <w:rPr>
          <w:rFonts w:asciiTheme="minorHAnsi" w:hAnsiTheme="minorHAnsi" w:cstheme="minorHAnsi"/>
          <w:szCs w:val="22"/>
        </w:rPr>
        <w:t>ANO</w:t>
      </w:r>
    </w:p>
    <w:p w14:paraId="6C0409F6" w14:textId="0E519985"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EA6235" w:rsidRPr="00EA6235">
        <w:rPr>
          <w:rFonts w:asciiTheme="minorHAnsi" w:hAnsiTheme="minorHAnsi" w:cstheme="minorHAnsi"/>
          <w:szCs w:val="22"/>
        </w:rPr>
        <w:t>4935671/0100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4996734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317801">
        <w:rPr>
          <w:rFonts w:asciiTheme="minorHAnsi" w:hAnsiTheme="minorHAnsi" w:cstheme="minorHAnsi"/>
          <w:sz w:val="22"/>
          <w:szCs w:val="22"/>
        </w:rPr>
        <w:lastRenderedPageBreak/>
        <w:t xml:space="preserve">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D40577">
        <w:rPr>
          <w:rFonts w:asciiTheme="minorHAnsi" w:hAnsiTheme="minorHAnsi" w:cstheme="minorHAnsi"/>
          <w:sz w:val="22"/>
          <w:szCs w:val="22"/>
        </w:rPr>
        <w:t>názvem</w:t>
      </w:r>
      <w:r w:rsidR="00B10179" w:rsidRPr="00D40577">
        <w:rPr>
          <w:rFonts w:asciiTheme="minorHAnsi" w:hAnsiTheme="minorHAnsi" w:cstheme="minorHAnsi"/>
          <w:sz w:val="22"/>
          <w:szCs w:val="22"/>
        </w:rPr>
        <w:t xml:space="preserve">: </w:t>
      </w:r>
      <w:r w:rsidR="006C1B9E" w:rsidRPr="00D40577">
        <w:rPr>
          <w:rFonts w:asciiTheme="minorHAnsi" w:hAnsiTheme="minorHAnsi" w:cstheme="minorHAnsi"/>
          <w:b/>
          <w:bCs/>
          <w:sz w:val="22"/>
          <w:szCs w:val="22"/>
        </w:rPr>
        <w:t xml:space="preserve">DNS ICT </w:t>
      </w:r>
      <w:r w:rsidR="00EA6235" w:rsidRPr="00D40577">
        <w:rPr>
          <w:rFonts w:asciiTheme="minorHAnsi" w:hAnsiTheme="minorHAnsi" w:cstheme="minorHAnsi"/>
          <w:b/>
          <w:bCs/>
          <w:sz w:val="22"/>
          <w:szCs w:val="22"/>
        </w:rPr>
        <w:t>166 - ICT vybavení (SŠP Kyjov)</w:t>
      </w:r>
      <w:r w:rsidR="00EA6235" w:rsidRPr="00EA6235">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DE2E8D4"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0E7D2F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2012553"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w:t>
      </w:r>
      <w:r w:rsidRPr="00317801">
        <w:rPr>
          <w:rFonts w:asciiTheme="minorHAnsi" w:hAnsiTheme="minorHAnsi" w:cstheme="minorHAnsi"/>
          <w:szCs w:val="22"/>
        </w:rPr>
        <w:lastRenderedPageBreak/>
        <w:t>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w:t>
      </w:r>
      <w:r w:rsidRPr="00317801">
        <w:rPr>
          <w:rFonts w:asciiTheme="minorHAnsi" w:hAnsiTheme="minorHAnsi" w:cstheme="minorHAnsi"/>
          <w:szCs w:val="22"/>
        </w:rPr>
        <w:lastRenderedPageBreak/>
        <w:t>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2113F00F"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27632B">
        <w:rPr>
          <w:rFonts w:asciiTheme="minorHAnsi" w:hAnsiTheme="minorHAnsi" w:cstheme="minorHAnsi"/>
          <w:szCs w:val="22"/>
        </w:rPr>
        <w:t>3</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38F963E"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1D7F0E">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1102422" w:rsidR="007F22C9" w:rsidRPr="00D40577" w:rsidRDefault="007F22C9" w:rsidP="00BE3100">
      <w:pPr>
        <w:numPr>
          <w:ilvl w:val="0"/>
          <w:numId w:val="13"/>
        </w:numPr>
        <w:jc w:val="both"/>
        <w:rPr>
          <w:rFonts w:asciiTheme="minorHAnsi" w:hAnsiTheme="minorHAnsi" w:cstheme="minorHAnsi"/>
          <w:bCs/>
          <w:szCs w:val="22"/>
        </w:rPr>
      </w:pPr>
      <w:bookmarkStart w:id="22" w:name="_Ref383091804"/>
      <w:r w:rsidRPr="00D40577">
        <w:rPr>
          <w:rFonts w:asciiTheme="minorHAnsi" w:hAnsiTheme="minorHAnsi" w:cstheme="minorHAnsi"/>
          <w:szCs w:val="22"/>
        </w:rPr>
        <w:t xml:space="preserve">Prodávající je povinen </w:t>
      </w:r>
      <w:r w:rsidR="00DB2FC5" w:rsidRPr="00D40577">
        <w:rPr>
          <w:rFonts w:asciiTheme="minorHAnsi" w:hAnsiTheme="minorHAnsi" w:cstheme="minorHAnsi"/>
          <w:szCs w:val="22"/>
        </w:rPr>
        <w:t>splnit povinnost odevzdat</w:t>
      </w:r>
      <w:r w:rsidRPr="00D40577">
        <w:rPr>
          <w:rFonts w:asciiTheme="minorHAnsi" w:hAnsiTheme="minorHAnsi" w:cstheme="minorHAnsi"/>
          <w:szCs w:val="22"/>
        </w:rPr>
        <w:t xml:space="preserve"> Předmět koupě </w:t>
      </w:r>
      <w:r w:rsidR="00476D22" w:rsidRPr="00D40577">
        <w:rPr>
          <w:rFonts w:asciiTheme="minorHAnsi" w:hAnsiTheme="minorHAnsi" w:cstheme="minorHAnsi"/>
          <w:szCs w:val="22"/>
        </w:rPr>
        <w:t xml:space="preserve">Kupujícímu </w:t>
      </w:r>
      <w:r w:rsidR="00EA6235" w:rsidRPr="00D40577">
        <w:rPr>
          <w:rFonts w:asciiTheme="minorHAnsi" w:hAnsiTheme="minorHAnsi" w:cstheme="minorHAnsi"/>
          <w:szCs w:val="22"/>
        </w:rPr>
        <w:t xml:space="preserve">v termínu </w:t>
      </w:r>
      <w:r w:rsidR="00EA6235" w:rsidRPr="00D40577">
        <w:rPr>
          <w:rFonts w:asciiTheme="minorHAnsi" w:hAnsiTheme="minorHAnsi" w:cstheme="minorHAnsi"/>
          <w:b/>
          <w:bCs/>
          <w:szCs w:val="22"/>
        </w:rPr>
        <w:t>od 25. 8. 2025 do 28. 8. 2025</w:t>
      </w:r>
      <w:r w:rsidR="00BA1D07" w:rsidRPr="00D40577">
        <w:rPr>
          <w:rFonts w:asciiTheme="minorHAnsi" w:hAnsiTheme="minorHAnsi" w:cstheme="minorHAnsi"/>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455FBFC8"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DD11423"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1D7F0E">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21F7AC2"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ADD77E3"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C80983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D1B4D7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99979BF"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9183CEB"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DBCCBC0"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6D41A14"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w:t>
      </w:r>
      <w:r w:rsidR="002D6E26" w:rsidRPr="00EA6235">
        <w:rPr>
          <w:rFonts w:asciiTheme="minorHAnsi" w:hAnsiTheme="minorHAnsi" w:cstheme="minorHAnsi"/>
          <w:szCs w:val="22"/>
        </w:rPr>
        <w:t xml:space="preserve">doba </w:t>
      </w:r>
      <w:r w:rsidR="00E65A62" w:rsidRPr="00EA6235">
        <w:rPr>
          <w:rFonts w:asciiTheme="minorHAnsi" w:hAnsiTheme="minorHAnsi" w:cstheme="minorHAnsi"/>
          <w:szCs w:val="22"/>
        </w:rPr>
        <w:t xml:space="preserve">je sjednána </w:t>
      </w:r>
      <w:r w:rsidR="0086779C" w:rsidRPr="00EA6235">
        <w:rPr>
          <w:rFonts w:asciiTheme="minorHAnsi" w:hAnsiTheme="minorHAnsi" w:cstheme="minorHAnsi"/>
          <w:szCs w:val="22"/>
        </w:rPr>
        <w:t>v Příloze</w:t>
      </w:r>
      <w:r w:rsidR="00C55F9F" w:rsidRPr="00EA6235">
        <w:rPr>
          <w:rFonts w:asciiTheme="minorHAnsi" w:hAnsiTheme="minorHAnsi" w:cstheme="minorHAnsi"/>
          <w:szCs w:val="22"/>
        </w:rPr>
        <w:t xml:space="preserve"> č. 1 – </w:t>
      </w:r>
      <w:r w:rsidR="002D1DB4" w:rsidRPr="00EA6235">
        <w:rPr>
          <w:rFonts w:asciiTheme="minorHAnsi" w:hAnsiTheme="minorHAnsi" w:cstheme="minorHAnsi"/>
          <w:szCs w:val="22"/>
        </w:rPr>
        <w:t>T</w:t>
      </w:r>
      <w:r w:rsidR="00C55F9F" w:rsidRPr="00EA6235">
        <w:rPr>
          <w:rFonts w:asciiTheme="minorHAnsi" w:hAnsiTheme="minorHAnsi" w:cstheme="minorHAnsi"/>
          <w:szCs w:val="22"/>
        </w:rPr>
        <w:t xml:space="preserve">echnické specifikaci </w:t>
      </w:r>
      <w:r w:rsidR="00733BD8" w:rsidRPr="00EA6235">
        <w:rPr>
          <w:rFonts w:asciiTheme="minorHAnsi" w:hAnsiTheme="minorHAnsi" w:cstheme="minorHAnsi"/>
          <w:szCs w:val="22"/>
        </w:rPr>
        <w:t xml:space="preserve">předmětu koupě </w:t>
      </w:r>
      <w:r w:rsidR="0055489C" w:rsidRPr="00EA6235">
        <w:rPr>
          <w:rFonts w:asciiTheme="minorHAnsi" w:hAnsiTheme="minorHAnsi" w:cstheme="minorHAnsi"/>
          <w:szCs w:val="22"/>
        </w:rPr>
        <w:t>(dále jen „</w:t>
      </w:r>
      <w:r w:rsidR="0055489C" w:rsidRPr="00EA6235">
        <w:rPr>
          <w:rFonts w:asciiTheme="minorHAnsi" w:hAnsiTheme="minorHAnsi" w:cstheme="minorHAnsi"/>
          <w:b/>
          <w:i/>
          <w:szCs w:val="22"/>
        </w:rPr>
        <w:t>Záruční doba</w:t>
      </w:r>
      <w:r w:rsidR="0055489C" w:rsidRPr="00EA6235">
        <w:rPr>
          <w:rFonts w:asciiTheme="minorHAnsi" w:hAnsiTheme="minorHAnsi" w:cstheme="minorHAnsi"/>
          <w:szCs w:val="22"/>
        </w:rPr>
        <w:t>“)</w:t>
      </w:r>
      <w:r w:rsidR="00B92AB0" w:rsidRPr="00EA6235">
        <w:rPr>
          <w:rFonts w:asciiTheme="minorHAnsi" w:hAnsiTheme="minorHAnsi" w:cstheme="minorHAnsi"/>
          <w:szCs w:val="22"/>
        </w:rPr>
        <w:t>.</w:t>
      </w:r>
      <w:r w:rsidR="006102C4" w:rsidRPr="00EA6235">
        <w:rPr>
          <w:rFonts w:asciiTheme="minorHAnsi" w:hAnsiTheme="minorHAnsi" w:cstheme="minorHAnsi"/>
          <w:szCs w:val="22"/>
        </w:rPr>
        <w:t xml:space="preserve"> </w:t>
      </w:r>
      <w:bookmarkEnd w:id="41"/>
      <w:r w:rsidR="008961AA" w:rsidRPr="00EA6235">
        <w:rPr>
          <w:rFonts w:asciiTheme="minorHAnsi" w:hAnsiTheme="minorHAnsi" w:cstheme="minorHAnsi"/>
          <w:szCs w:val="22"/>
        </w:rPr>
        <w:t>Pokud je záruční doba sjednána jako NBD (</w:t>
      </w:r>
      <w:proofErr w:type="spellStart"/>
      <w:r w:rsidR="008961AA" w:rsidRPr="00EA6235">
        <w:rPr>
          <w:rFonts w:asciiTheme="minorHAnsi" w:hAnsiTheme="minorHAnsi" w:cstheme="minorHAnsi"/>
          <w:szCs w:val="22"/>
        </w:rPr>
        <w:t>Next</w:t>
      </w:r>
      <w:proofErr w:type="spellEnd"/>
      <w:r w:rsidR="008961AA" w:rsidRPr="00EA6235">
        <w:rPr>
          <w:rFonts w:asciiTheme="minorHAnsi" w:hAnsiTheme="minorHAnsi" w:cstheme="minorHAnsi"/>
          <w:szCs w:val="22"/>
        </w:rPr>
        <w:t xml:space="preserve"> Business </w:t>
      </w:r>
      <w:proofErr w:type="spellStart"/>
      <w:r w:rsidR="008961AA" w:rsidRPr="00EA6235">
        <w:rPr>
          <w:rFonts w:asciiTheme="minorHAnsi" w:hAnsiTheme="minorHAnsi" w:cstheme="minorHAnsi"/>
          <w:szCs w:val="22"/>
        </w:rPr>
        <w:t>Day</w:t>
      </w:r>
      <w:proofErr w:type="spellEnd"/>
      <w:r w:rsidR="008961AA" w:rsidRPr="00EA6235">
        <w:rPr>
          <w:rFonts w:asciiTheme="minorHAnsi" w:hAnsiTheme="minorHAnsi" w:cstheme="minorHAnsi"/>
          <w:szCs w:val="22"/>
        </w:rPr>
        <w:t>) On-</w:t>
      </w:r>
      <w:proofErr w:type="spellStart"/>
      <w:r w:rsidR="008961AA" w:rsidRPr="00EA6235">
        <w:rPr>
          <w:rFonts w:asciiTheme="minorHAnsi" w:hAnsiTheme="minorHAnsi" w:cstheme="minorHAnsi"/>
          <w:szCs w:val="22"/>
        </w:rPr>
        <w:t>Site</w:t>
      </w:r>
      <w:proofErr w:type="spellEnd"/>
      <w:r w:rsidR="008961AA" w:rsidRPr="00EA6235">
        <w:rPr>
          <w:rFonts w:asciiTheme="minorHAnsi" w:hAnsiTheme="minorHAnsi" w:cstheme="minorHAnsi"/>
          <w:szCs w:val="22"/>
        </w:rPr>
        <w:t>, zahrnuje servis u</w:t>
      </w:r>
      <w:r w:rsidR="00796D80" w:rsidRPr="00EA6235">
        <w:rPr>
          <w:rFonts w:asciiTheme="minorHAnsi" w:hAnsiTheme="minorHAnsi" w:cstheme="minorHAnsi"/>
          <w:szCs w:val="22"/>
        </w:rPr>
        <w:t> </w:t>
      </w:r>
      <w:r w:rsidR="008961AA" w:rsidRPr="00EA6235">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EA6235">
        <w:rPr>
          <w:rFonts w:asciiTheme="minorHAnsi" w:hAnsiTheme="minorHAnsi" w:cstheme="minorHAnsi"/>
          <w:szCs w:val="22"/>
        </w:rPr>
        <w:fldChar w:fldCharType="begin"/>
      </w:r>
      <w:r w:rsidR="00EA6235">
        <w:rPr>
          <w:rFonts w:asciiTheme="minorHAnsi" w:hAnsiTheme="minorHAnsi" w:cstheme="minorHAnsi"/>
          <w:szCs w:val="22"/>
        </w:rPr>
        <w:instrText xml:space="preserve"> REF _Ref383124412 \r \h </w:instrText>
      </w:r>
      <w:r w:rsidR="00EA6235">
        <w:rPr>
          <w:rFonts w:asciiTheme="minorHAnsi" w:hAnsiTheme="minorHAnsi" w:cstheme="minorHAnsi"/>
          <w:szCs w:val="22"/>
        </w:rPr>
      </w:r>
      <w:r w:rsidR="00EA6235">
        <w:rPr>
          <w:rFonts w:asciiTheme="minorHAnsi" w:hAnsiTheme="minorHAnsi" w:cstheme="minorHAnsi"/>
          <w:szCs w:val="22"/>
        </w:rPr>
        <w:fldChar w:fldCharType="separate"/>
      </w:r>
      <w:r w:rsidR="001D7F0E">
        <w:rPr>
          <w:rFonts w:asciiTheme="minorHAnsi" w:hAnsiTheme="minorHAnsi" w:cstheme="minorHAnsi"/>
          <w:szCs w:val="22"/>
        </w:rPr>
        <w:t>42</w:t>
      </w:r>
      <w:r w:rsidR="00EA6235">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094B1CF"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1D7F0E">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1D7F0E">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FDA36BA"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D7F0E">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D7F0E">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7A6DAA5D"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D7F0E">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9F57240" w:rsidR="007F22C9" w:rsidRPr="00EA6235"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w:t>
      </w:r>
      <w:r w:rsidRPr="00EA6235">
        <w:rPr>
          <w:rFonts w:asciiTheme="minorHAnsi" w:hAnsiTheme="minorHAnsi" w:cstheme="minorHAnsi"/>
          <w:szCs w:val="22"/>
        </w:rPr>
        <w:t xml:space="preserve">Kupujícímu smluvní pokutu ve výši </w:t>
      </w:r>
      <w:r w:rsidR="00997D34" w:rsidRPr="00EA6235">
        <w:rPr>
          <w:rFonts w:asciiTheme="minorHAnsi" w:hAnsiTheme="minorHAnsi" w:cstheme="minorHAnsi"/>
          <w:szCs w:val="22"/>
          <w:lang w:eastAsia="en-US" w:bidi="en-US"/>
        </w:rPr>
        <w:t>0,</w:t>
      </w:r>
      <w:r w:rsidR="00EA6235" w:rsidRPr="00EA6235">
        <w:rPr>
          <w:rFonts w:asciiTheme="minorHAnsi" w:hAnsiTheme="minorHAnsi" w:cstheme="minorHAnsi"/>
          <w:szCs w:val="22"/>
          <w:lang w:eastAsia="en-US" w:bidi="en-US"/>
        </w:rPr>
        <w:t>1</w:t>
      </w:r>
      <w:r w:rsidR="00F01488" w:rsidRPr="00EA6235">
        <w:rPr>
          <w:rFonts w:asciiTheme="minorHAnsi" w:hAnsiTheme="minorHAnsi" w:cstheme="minorHAnsi"/>
          <w:szCs w:val="22"/>
          <w:lang w:eastAsia="en-US" w:bidi="en-US"/>
        </w:rPr>
        <w:t xml:space="preserve"> </w:t>
      </w:r>
      <w:r w:rsidRPr="00EA6235">
        <w:rPr>
          <w:rFonts w:asciiTheme="minorHAnsi" w:hAnsiTheme="minorHAnsi" w:cstheme="minorHAnsi"/>
          <w:szCs w:val="22"/>
        </w:rPr>
        <w:t>% z</w:t>
      </w:r>
      <w:r w:rsidR="0007566D" w:rsidRPr="00EA6235">
        <w:rPr>
          <w:rFonts w:asciiTheme="minorHAnsi" w:hAnsiTheme="minorHAnsi" w:cstheme="minorHAnsi"/>
          <w:szCs w:val="22"/>
        </w:rPr>
        <w:t> </w:t>
      </w:r>
      <w:r w:rsidR="009E6775" w:rsidRPr="00EA6235">
        <w:rPr>
          <w:rFonts w:asciiTheme="minorHAnsi" w:hAnsiTheme="minorHAnsi" w:cstheme="minorHAnsi"/>
          <w:szCs w:val="22"/>
        </w:rPr>
        <w:t>C</w:t>
      </w:r>
      <w:r w:rsidRPr="00EA6235">
        <w:rPr>
          <w:rFonts w:asciiTheme="minorHAnsi" w:hAnsiTheme="minorHAnsi" w:cstheme="minorHAnsi"/>
          <w:szCs w:val="22"/>
        </w:rPr>
        <w:t>eny</w:t>
      </w:r>
      <w:r w:rsidR="0007566D" w:rsidRPr="00EA6235">
        <w:rPr>
          <w:rFonts w:asciiTheme="minorHAnsi" w:hAnsiTheme="minorHAnsi" w:cstheme="minorHAnsi"/>
          <w:szCs w:val="22"/>
        </w:rPr>
        <w:t xml:space="preserve"> </w:t>
      </w:r>
      <w:r w:rsidR="001C0BC4" w:rsidRPr="00EA6235">
        <w:rPr>
          <w:rFonts w:asciiTheme="minorHAnsi" w:hAnsiTheme="minorHAnsi" w:cstheme="minorHAnsi"/>
          <w:szCs w:val="22"/>
        </w:rPr>
        <w:t xml:space="preserve">v Kč </w:t>
      </w:r>
      <w:r w:rsidR="0007566D" w:rsidRPr="00EA6235">
        <w:rPr>
          <w:rFonts w:asciiTheme="minorHAnsi" w:hAnsiTheme="minorHAnsi" w:cstheme="minorHAnsi"/>
          <w:szCs w:val="22"/>
        </w:rPr>
        <w:t>bez DPH</w:t>
      </w:r>
      <w:r w:rsidR="001C0BC4" w:rsidRPr="00EA6235">
        <w:rPr>
          <w:rFonts w:asciiTheme="minorHAnsi" w:hAnsiTheme="minorHAnsi" w:cstheme="minorHAnsi"/>
          <w:szCs w:val="22"/>
        </w:rPr>
        <w:t xml:space="preserve">, a </w:t>
      </w:r>
      <w:r w:rsidR="00443593" w:rsidRPr="00EA6235">
        <w:rPr>
          <w:rFonts w:asciiTheme="minorHAnsi" w:hAnsiTheme="minorHAnsi" w:cstheme="minorHAnsi"/>
          <w:szCs w:val="22"/>
        </w:rPr>
        <w:t>to</w:t>
      </w:r>
      <w:r w:rsidRPr="00EA6235">
        <w:rPr>
          <w:rFonts w:asciiTheme="minorHAnsi" w:hAnsiTheme="minorHAnsi" w:cstheme="minorHAnsi"/>
          <w:szCs w:val="22"/>
        </w:rPr>
        <w:t xml:space="preserve"> za</w:t>
      </w:r>
      <w:r w:rsidR="00E60B34" w:rsidRPr="00EA6235">
        <w:rPr>
          <w:rFonts w:asciiTheme="minorHAnsi" w:hAnsiTheme="minorHAnsi" w:cstheme="minorHAnsi"/>
          <w:szCs w:val="22"/>
        </w:rPr>
        <w:t> </w:t>
      </w:r>
      <w:r w:rsidRPr="00EA6235">
        <w:rPr>
          <w:rFonts w:asciiTheme="minorHAnsi" w:hAnsiTheme="minorHAnsi" w:cstheme="minorHAnsi"/>
          <w:szCs w:val="22"/>
        </w:rPr>
        <w:t>každý den prodlení.</w:t>
      </w:r>
    </w:p>
    <w:p w14:paraId="1B3570CF" w14:textId="77777777" w:rsidR="004F7C62" w:rsidRPr="00EA6235" w:rsidRDefault="004F7C62" w:rsidP="00BE3100">
      <w:pPr>
        <w:ind w:left="567"/>
        <w:jc w:val="both"/>
        <w:rPr>
          <w:rFonts w:asciiTheme="minorHAnsi" w:hAnsiTheme="minorHAnsi" w:cstheme="minorHAnsi"/>
          <w:szCs w:val="22"/>
        </w:rPr>
      </w:pPr>
    </w:p>
    <w:p w14:paraId="6C3576D6" w14:textId="2A785713" w:rsidR="004F7C62" w:rsidRPr="00EA6235" w:rsidRDefault="004F7C62" w:rsidP="00BE3100">
      <w:pPr>
        <w:numPr>
          <w:ilvl w:val="0"/>
          <w:numId w:val="13"/>
        </w:numPr>
        <w:jc w:val="both"/>
        <w:rPr>
          <w:rFonts w:asciiTheme="minorHAnsi" w:hAnsiTheme="minorHAnsi" w:cstheme="minorHAnsi"/>
          <w:szCs w:val="22"/>
        </w:rPr>
      </w:pPr>
      <w:r w:rsidRPr="00EA6235">
        <w:rPr>
          <w:rFonts w:asciiTheme="minorHAnsi" w:hAnsiTheme="minorHAnsi" w:cstheme="minorHAnsi"/>
          <w:szCs w:val="22"/>
        </w:rPr>
        <w:t xml:space="preserve">Poruší-li Prodávající povinnost poskytnout </w:t>
      </w:r>
      <w:r w:rsidR="00834084" w:rsidRPr="00EA6235">
        <w:rPr>
          <w:rFonts w:asciiTheme="minorHAnsi" w:hAnsiTheme="minorHAnsi" w:cstheme="minorHAnsi"/>
          <w:szCs w:val="22"/>
        </w:rPr>
        <w:t>Související</w:t>
      </w:r>
      <w:r w:rsidRPr="00EA6235">
        <w:rPr>
          <w:rFonts w:asciiTheme="minorHAnsi" w:hAnsiTheme="minorHAnsi" w:cstheme="minorHAnsi"/>
          <w:szCs w:val="22"/>
        </w:rPr>
        <w:t xml:space="preserve"> plnění ve sjednané nebo stanovené době, je Prodávající povinen uhradit Kupujícímu smluvní pokutu ve výši </w:t>
      </w:r>
      <w:r w:rsidR="00997D34" w:rsidRPr="00EA6235">
        <w:rPr>
          <w:rFonts w:asciiTheme="minorHAnsi" w:hAnsiTheme="minorHAnsi" w:cstheme="minorHAnsi"/>
          <w:szCs w:val="22"/>
          <w:lang w:eastAsia="en-US" w:bidi="en-US"/>
        </w:rPr>
        <w:t>0,</w:t>
      </w:r>
      <w:r w:rsidR="00EA6235" w:rsidRPr="00EA6235">
        <w:rPr>
          <w:rFonts w:asciiTheme="minorHAnsi" w:hAnsiTheme="minorHAnsi" w:cstheme="minorHAnsi"/>
          <w:szCs w:val="22"/>
          <w:lang w:eastAsia="en-US" w:bidi="en-US"/>
        </w:rPr>
        <w:t>1</w:t>
      </w:r>
      <w:r w:rsidR="00665837" w:rsidRPr="00EA6235">
        <w:rPr>
          <w:rFonts w:asciiTheme="minorHAnsi" w:hAnsiTheme="minorHAnsi" w:cstheme="minorHAnsi"/>
          <w:szCs w:val="22"/>
        </w:rPr>
        <w:t xml:space="preserve"> </w:t>
      </w:r>
      <w:r w:rsidRPr="00EA6235">
        <w:rPr>
          <w:rFonts w:asciiTheme="minorHAnsi" w:hAnsiTheme="minorHAnsi" w:cstheme="minorHAnsi"/>
          <w:szCs w:val="22"/>
        </w:rPr>
        <w:t>% z</w:t>
      </w:r>
      <w:r w:rsidR="001C0BC4" w:rsidRPr="00EA6235">
        <w:rPr>
          <w:rFonts w:asciiTheme="minorHAnsi" w:hAnsiTheme="minorHAnsi" w:cstheme="minorHAnsi"/>
          <w:szCs w:val="22"/>
        </w:rPr>
        <w:t> </w:t>
      </w:r>
      <w:r w:rsidR="009E6775" w:rsidRPr="00EA6235">
        <w:rPr>
          <w:rFonts w:asciiTheme="minorHAnsi" w:hAnsiTheme="minorHAnsi" w:cstheme="minorHAnsi"/>
          <w:szCs w:val="22"/>
        </w:rPr>
        <w:t>C</w:t>
      </w:r>
      <w:r w:rsidRPr="00EA6235">
        <w:rPr>
          <w:rFonts w:asciiTheme="minorHAnsi" w:hAnsiTheme="minorHAnsi" w:cstheme="minorHAnsi"/>
          <w:szCs w:val="22"/>
        </w:rPr>
        <w:t>eny</w:t>
      </w:r>
      <w:r w:rsidR="001C0BC4" w:rsidRPr="00EA6235">
        <w:rPr>
          <w:rFonts w:asciiTheme="minorHAnsi" w:hAnsiTheme="minorHAnsi" w:cstheme="minorHAnsi"/>
          <w:szCs w:val="22"/>
        </w:rPr>
        <w:t xml:space="preserve"> v Kč</w:t>
      </w:r>
      <w:r w:rsidR="0007566D" w:rsidRPr="00EA6235">
        <w:rPr>
          <w:rFonts w:asciiTheme="minorHAnsi" w:hAnsiTheme="minorHAnsi" w:cstheme="minorHAnsi"/>
          <w:szCs w:val="22"/>
        </w:rPr>
        <w:t xml:space="preserve"> bez DPH</w:t>
      </w:r>
      <w:r w:rsidRPr="00EA6235">
        <w:rPr>
          <w:rFonts w:asciiTheme="minorHAnsi" w:hAnsiTheme="minorHAnsi" w:cstheme="minorHAnsi"/>
          <w:szCs w:val="22"/>
        </w:rPr>
        <w:t xml:space="preserve"> za</w:t>
      </w:r>
      <w:r w:rsidR="001C0BC4" w:rsidRPr="00EA6235">
        <w:rPr>
          <w:rFonts w:asciiTheme="minorHAnsi" w:hAnsiTheme="minorHAnsi" w:cstheme="minorHAnsi"/>
          <w:szCs w:val="22"/>
        </w:rPr>
        <w:t> </w:t>
      </w:r>
      <w:r w:rsidRPr="00EA6235">
        <w:rPr>
          <w:rFonts w:asciiTheme="minorHAnsi" w:hAnsiTheme="minorHAnsi" w:cstheme="minorHAnsi"/>
          <w:szCs w:val="22"/>
        </w:rPr>
        <w:t>každý den prodlení.</w:t>
      </w:r>
    </w:p>
    <w:p w14:paraId="5A1CCE13" w14:textId="77777777" w:rsidR="004E5ABA" w:rsidRPr="00EA6235" w:rsidRDefault="004E5ABA" w:rsidP="00BE3100">
      <w:pPr>
        <w:ind w:left="567"/>
        <w:jc w:val="both"/>
        <w:rPr>
          <w:rFonts w:asciiTheme="minorHAnsi" w:hAnsiTheme="minorHAnsi" w:cstheme="minorHAnsi"/>
          <w:szCs w:val="22"/>
        </w:rPr>
      </w:pPr>
    </w:p>
    <w:p w14:paraId="1E1AA31E" w14:textId="61AA364A" w:rsidR="007F22C9" w:rsidRPr="00BA1D07" w:rsidRDefault="007F22C9" w:rsidP="00BE3100">
      <w:pPr>
        <w:numPr>
          <w:ilvl w:val="0"/>
          <w:numId w:val="13"/>
        </w:numPr>
        <w:jc w:val="both"/>
        <w:rPr>
          <w:rFonts w:asciiTheme="minorHAnsi" w:hAnsiTheme="minorHAnsi" w:cstheme="minorHAnsi"/>
          <w:szCs w:val="22"/>
        </w:rPr>
      </w:pPr>
      <w:r w:rsidRPr="00EA6235">
        <w:rPr>
          <w:rFonts w:asciiTheme="minorHAnsi" w:hAnsiTheme="minorHAnsi" w:cstheme="minorHAnsi"/>
          <w:szCs w:val="22"/>
        </w:rPr>
        <w:t xml:space="preserve">Poruší-li Prodávající povinnost </w:t>
      </w:r>
      <w:r w:rsidR="00EF22E5" w:rsidRPr="00EA6235">
        <w:rPr>
          <w:rFonts w:asciiTheme="minorHAnsi" w:hAnsiTheme="minorHAnsi" w:cstheme="minorHAnsi"/>
          <w:szCs w:val="22"/>
        </w:rPr>
        <w:t xml:space="preserve">odstranit ve stanovené lhůtě vady </w:t>
      </w:r>
      <w:r w:rsidRPr="00EA6235">
        <w:rPr>
          <w:rFonts w:asciiTheme="minorHAnsi" w:hAnsiTheme="minorHAnsi" w:cstheme="minorHAnsi"/>
          <w:szCs w:val="22"/>
        </w:rPr>
        <w:t>Předmět</w:t>
      </w:r>
      <w:r w:rsidR="00EF22E5" w:rsidRPr="00EA6235">
        <w:rPr>
          <w:rFonts w:asciiTheme="minorHAnsi" w:hAnsiTheme="minorHAnsi" w:cstheme="minorHAnsi"/>
          <w:szCs w:val="22"/>
        </w:rPr>
        <w:t>u</w:t>
      </w:r>
      <w:r w:rsidRPr="00EA6235">
        <w:rPr>
          <w:rFonts w:asciiTheme="minorHAnsi" w:hAnsiTheme="minorHAnsi" w:cstheme="minorHAnsi"/>
          <w:szCs w:val="22"/>
        </w:rPr>
        <w:t xml:space="preserve"> koupě, je povinen uhradit Kupujícímu smluvní pokutu ve výši </w:t>
      </w:r>
      <w:r w:rsidR="00997D34" w:rsidRPr="00EA6235">
        <w:rPr>
          <w:rFonts w:asciiTheme="minorHAnsi" w:hAnsiTheme="minorHAnsi" w:cstheme="minorHAnsi"/>
          <w:szCs w:val="22"/>
          <w:lang w:eastAsia="en-US" w:bidi="en-US"/>
        </w:rPr>
        <w:t>0,</w:t>
      </w:r>
      <w:r w:rsidR="00EA6235" w:rsidRPr="00EA6235">
        <w:rPr>
          <w:rFonts w:asciiTheme="minorHAnsi" w:hAnsiTheme="minorHAnsi" w:cstheme="minorHAnsi"/>
          <w:szCs w:val="22"/>
          <w:lang w:eastAsia="en-US" w:bidi="en-US"/>
        </w:rPr>
        <w:t>1</w:t>
      </w:r>
      <w:r w:rsidR="00EF4EF0" w:rsidRPr="00EA6235">
        <w:rPr>
          <w:rFonts w:asciiTheme="minorHAnsi" w:hAnsiTheme="minorHAnsi" w:cstheme="minorHAnsi"/>
          <w:szCs w:val="22"/>
          <w:lang w:eastAsia="en-US" w:bidi="en-US"/>
        </w:rPr>
        <w:t xml:space="preserve"> </w:t>
      </w:r>
      <w:r w:rsidRPr="00EA6235">
        <w:rPr>
          <w:rFonts w:asciiTheme="minorHAnsi" w:hAnsiTheme="minorHAnsi" w:cstheme="minorHAnsi"/>
          <w:szCs w:val="22"/>
        </w:rPr>
        <w:t>% z</w:t>
      </w:r>
      <w:r w:rsidR="001C0BC4" w:rsidRPr="00EA6235">
        <w:rPr>
          <w:rFonts w:asciiTheme="minorHAnsi" w:hAnsiTheme="minorHAnsi" w:cstheme="minorHAnsi"/>
          <w:szCs w:val="22"/>
        </w:rPr>
        <w:t> </w:t>
      </w:r>
      <w:r w:rsidR="009E6775" w:rsidRPr="00EA6235">
        <w:rPr>
          <w:rFonts w:asciiTheme="minorHAnsi" w:hAnsiTheme="minorHAnsi" w:cstheme="minorHAnsi"/>
          <w:szCs w:val="22"/>
        </w:rPr>
        <w:t>C</w:t>
      </w:r>
      <w:r w:rsidRPr="00EA6235">
        <w:rPr>
          <w:rFonts w:asciiTheme="minorHAnsi" w:hAnsiTheme="minorHAnsi" w:cstheme="minorHAnsi"/>
          <w:szCs w:val="22"/>
        </w:rPr>
        <w:t>eny</w:t>
      </w:r>
      <w:r w:rsidR="001C0BC4" w:rsidRPr="00EA6235">
        <w:rPr>
          <w:rFonts w:asciiTheme="minorHAnsi" w:hAnsiTheme="minorHAnsi" w:cstheme="minorHAnsi"/>
          <w:szCs w:val="22"/>
        </w:rPr>
        <w:t xml:space="preserve"> v Kč</w:t>
      </w:r>
      <w:r w:rsidR="0007566D" w:rsidRPr="00EA6235">
        <w:rPr>
          <w:rFonts w:asciiTheme="minorHAnsi" w:hAnsiTheme="minorHAnsi" w:cstheme="minorHAnsi"/>
          <w:szCs w:val="22"/>
        </w:rPr>
        <w:t xml:space="preserve"> bez DPH</w:t>
      </w:r>
      <w:r w:rsidR="00443593" w:rsidRPr="00EA6235">
        <w:rPr>
          <w:rFonts w:asciiTheme="minorHAnsi" w:hAnsiTheme="minorHAnsi" w:cstheme="minorHAnsi"/>
          <w:szCs w:val="22"/>
        </w:rPr>
        <w:t>, a to</w:t>
      </w:r>
      <w:r w:rsidR="00E77887" w:rsidRPr="00EA6235">
        <w:rPr>
          <w:rFonts w:asciiTheme="minorHAnsi" w:hAnsiTheme="minorHAnsi" w:cstheme="minorHAnsi"/>
          <w:szCs w:val="22"/>
        </w:rPr>
        <w:t xml:space="preserve"> za každý den prodlení</w:t>
      </w:r>
      <w:r w:rsidRPr="00EA6235">
        <w:rPr>
          <w:rFonts w:asciiTheme="minorHAnsi" w:hAnsiTheme="minorHAnsi" w:cstheme="minorHAnsi"/>
          <w:szCs w:val="22"/>
        </w:rPr>
        <w:t xml:space="preserve">. </w:t>
      </w:r>
      <w:r w:rsidR="00D62BEC" w:rsidRPr="00EA6235">
        <w:rPr>
          <w:rFonts w:asciiTheme="minorHAnsi" w:hAnsiTheme="minorHAnsi" w:cstheme="minorHAnsi"/>
          <w:szCs w:val="22"/>
        </w:rPr>
        <w:t xml:space="preserve">Prodlení s plněním povinnosti </w:t>
      </w:r>
      <w:r w:rsidR="003F5D4A" w:rsidRPr="00EA6235">
        <w:rPr>
          <w:rFonts w:asciiTheme="minorHAnsi" w:hAnsiTheme="minorHAnsi" w:cstheme="minorHAnsi"/>
          <w:szCs w:val="22"/>
        </w:rPr>
        <w:t>podle</w:t>
      </w:r>
      <w:r w:rsidR="00D62BEC" w:rsidRPr="00EA6235">
        <w:rPr>
          <w:rFonts w:asciiTheme="minorHAnsi" w:hAnsiTheme="minorHAnsi" w:cstheme="minorHAnsi"/>
          <w:szCs w:val="22"/>
        </w:rPr>
        <w:t xml:space="preserve"> předchozí věty je ukončeno</w:t>
      </w:r>
      <w:r w:rsidR="00D62BEC" w:rsidRPr="00BA1D07">
        <w:rPr>
          <w:rFonts w:asciiTheme="minorHAnsi" w:hAnsiTheme="minorHAnsi" w:cstheme="minorHAnsi"/>
          <w:szCs w:val="22"/>
        </w:rPr>
        <w:t xml:space="preserve">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1D7F0E">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2841443A"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8AF7C50"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4E6654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A5016B8"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5D95BAE1"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1D7F0E">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33AD85D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D7F0E">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3EAD9D9"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1D7F0E">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0ACEBFA3"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D7F0E">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3852D677"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EA6235">
        <w:rPr>
          <w:rFonts w:asciiTheme="minorHAnsi" w:hAnsiTheme="minorHAnsi" w:cstheme="minorHAnsi"/>
          <w:szCs w:val="22"/>
        </w:rPr>
        <w:t>Kyjově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D40577">
      <w:headerReference w:type="even" r:id="rId8"/>
      <w:footerReference w:type="even" r:id="rId9"/>
      <w:footerReference w:type="default" r:id="rId10"/>
      <w:pgSz w:w="11907" w:h="16840"/>
      <w:pgMar w:top="1560" w:right="1418" w:bottom="1560"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45D9" w14:textId="77777777" w:rsidR="00243D9A" w:rsidRDefault="00243D9A" w:rsidP="006C058C">
      <w:r>
        <w:separator/>
      </w:r>
    </w:p>
  </w:endnote>
  <w:endnote w:type="continuationSeparator" w:id="0">
    <w:p w14:paraId="5B6F52BB" w14:textId="77777777" w:rsidR="00243D9A" w:rsidRDefault="00243D9A"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1F0173">
      <w:rPr>
        <w:rFonts w:asciiTheme="minorHAnsi" w:hAnsiTheme="minorHAnsi" w:cstheme="minorHAnsi"/>
        <w:b/>
        <w:bCs/>
        <w:noProof/>
        <w:sz w:val="22"/>
        <w:szCs w:val="22"/>
      </w:rPr>
      <w:t>3</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1F0173">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A80E" w14:textId="77777777" w:rsidR="00243D9A" w:rsidRDefault="00243D9A" w:rsidP="006C058C">
      <w:r>
        <w:separator/>
      </w:r>
    </w:p>
  </w:footnote>
  <w:footnote w:type="continuationSeparator" w:id="0">
    <w:p w14:paraId="3CDFFB7D" w14:textId="77777777" w:rsidR="00243D9A" w:rsidRDefault="00243D9A"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004628809">
    <w:abstractNumId w:val="37"/>
  </w:num>
  <w:num w:numId="2" w16cid:durableId="940261482">
    <w:abstractNumId w:val="35"/>
  </w:num>
  <w:num w:numId="3" w16cid:durableId="1524786717">
    <w:abstractNumId w:val="27"/>
  </w:num>
  <w:num w:numId="4" w16cid:durableId="629750224">
    <w:abstractNumId w:val="6"/>
  </w:num>
  <w:num w:numId="5" w16cid:durableId="282883235">
    <w:abstractNumId w:val="34"/>
  </w:num>
  <w:num w:numId="6" w16cid:durableId="1295794839">
    <w:abstractNumId w:val="33"/>
  </w:num>
  <w:num w:numId="7" w16cid:durableId="1175533530">
    <w:abstractNumId w:val="20"/>
  </w:num>
  <w:num w:numId="8" w16cid:durableId="1001666725">
    <w:abstractNumId w:val="28"/>
  </w:num>
  <w:num w:numId="9" w16cid:durableId="2083986028">
    <w:abstractNumId w:val="39"/>
  </w:num>
  <w:num w:numId="10" w16cid:durableId="1071199471">
    <w:abstractNumId w:val="17"/>
  </w:num>
  <w:num w:numId="11" w16cid:durableId="1296837755">
    <w:abstractNumId w:val="31"/>
  </w:num>
  <w:num w:numId="12" w16cid:durableId="1058670407">
    <w:abstractNumId w:val="26"/>
  </w:num>
  <w:num w:numId="13" w16cid:durableId="257951511">
    <w:abstractNumId w:val="24"/>
  </w:num>
  <w:num w:numId="14" w16cid:durableId="238560940">
    <w:abstractNumId w:val="13"/>
  </w:num>
  <w:num w:numId="15" w16cid:durableId="795491542">
    <w:abstractNumId w:val="11"/>
  </w:num>
  <w:num w:numId="16" w16cid:durableId="1730230066">
    <w:abstractNumId w:val="46"/>
  </w:num>
  <w:num w:numId="17" w16cid:durableId="1215894734">
    <w:abstractNumId w:val="25"/>
  </w:num>
  <w:num w:numId="18" w16cid:durableId="702369518">
    <w:abstractNumId w:val="2"/>
  </w:num>
  <w:num w:numId="19" w16cid:durableId="290282642">
    <w:abstractNumId w:val="10"/>
  </w:num>
  <w:num w:numId="20" w16cid:durableId="388772692">
    <w:abstractNumId w:val="21"/>
  </w:num>
  <w:num w:numId="21" w16cid:durableId="2097363061">
    <w:abstractNumId w:val="0"/>
  </w:num>
  <w:num w:numId="22" w16cid:durableId="1951736400">
    <w:abstractNumId w:val="45"/>
  </w:num>
  <w:num w:numId="23" w16cid:durableId="1054812438">
    <w:abstractNumId w:val="43"/>
  </w:num>
  <w:num w:numId="24" w16cid:durableId="503789745">
    <w:abstractNumId w:val="7"/>
  </w:num>
  <w:num w:numId="25" w16cid:durableId="1711568777">
    <w:abstractNumId w:val="38"/>
  </w:num>
  <w:num w:numId="26" w16cid:durableId="919946127">
    <w:abstractNumId w:val="14"/>
  </w:num>
  <w:num w:numId="27" w16cid:durableId="911500751">
    <w:abstractNumId w:val="5"/>
  </w:num>
  <w:num w:numId="28" w16cid:durableId="788937815">
    <w:abstractNumId w:val="8"/>
  </w:num>
  <w:num w:numId="29" w16cid:durableId="204028942">
    <w:abstractNumId w:val="47"/>
  </w:num>
  <w:num w:numId="30" w16cid:durableId="1841895078">
    <w:abstractNumId w:val="9"/>
  </w:num>
  <w:num w:numId="31" w16cid:durableId="786196768">
    <w:abstractNumId w:val="36"/>
  </w:num>
  <w:num w:numId="32" w16cid:durableId="357246268">
    <w:abstractNumId w:val="30"/>
  </w:num>
  <w:num w:numId="33" w16cid:durableId="4828917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8601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6687119">
    <w:abstractNumId w:val="23"/>
  </w:num>
  <w:num w:numId="36" w16cid:durableId="1781605295">
    <w:abstractNumId w:val="19"/>
  </w:num>
  <w:num w:numId="37" w16cid:durableId="694959041">
    <w:abstractNumId w:val="32"/>
  </w:num>
  <w:num w:numId="38" w16cid:durableId="1279141758">
    <w:abstractNumId w:val="40"/>
  </w:num>
  <w:num w:numId="39" w16cid:durableId="20642146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5941155">
    <w:abstractNumId w:val="15"/>
  </w:num>
  <w:num w:numId="41" w16cid:durableId="1648976115">
    <w:abstractNumId w:val="42"/>
  </w:num>
  <w:num w:numId="42" w16cid:durableId="1178544846">
    <w:abstractNumId w:val="41"/>
  </w:num>
  <w:num w:numId="43" w16cid:durableId="379206102">
    <w:abstractNumId w:val="3"/>
  </w:num>
  <w:num w:numId="44" w16cid:durableId="1727993905">
    <w:abstractNumId w:val="10"/>
    <w:lvlOverride w:ilvl="0">
      <w:startOverride w:val="5"/>
    </w:lvlOverride>
  </w:num>
  <w:num w:numId="45" w16cid:durableId="1837568171">
    <w:abstractNumId w:val="18"/>
  </w:num>
  <w:num w:numId="46" w16cid:durableId="1843012585">
    <w:abstractNumId w:val="4"/>
  </w:num>
  <w:num w:numId="47" w16cid:durableId="1327972746">
    <w:abstractNumId w:val="12"/>
  </w:num>
  <w:num w:numId="48" w16cid:durableId="175466806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0950302">
    <w:abstractNumId w:val="1"/>
  </w:num>
  <w:num w:numId="50" w16cid:durableId="894774557">
    <w:abstractNumId w:val="16"/>
  </w:num>
  <w:num w:numId="51" w16cid:durableId="817725020">
    <w:abstractNumId w:val="29"/>
  </w:num>
  <w:num w:numId="52" w16cid:durableId="125126409">
    <w:abstractNumId w:val="44"/>
  </w:num>
  <w:num w:numId="53" w16cid:durableId="236133367">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0BC6"/>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D7F0E"/>
    <w:rsid w:val="001E1B6E"/>
    <w:rsid w:val="001E1B7F"/>
    <w:rsid w:val="001E2737"/>
    <w:rsid w:val="001E6820"/>
    <w:rsid w:val="001F0173"/>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3D9A"/>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7632B"/>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16CA9"/>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12F"/>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1539"/>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4DF4"/>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0577"/>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6235"/>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28C70"/>
  <w15:docId w15:val="{09DDB5FA-AF12-4635-9417-3E725F72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BFB30-D665-43C9-B053-01270621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6252</Words>
  <Characters>36893</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Mareš</dc:creator>
  <cp:lastModifiedBy>Vladislava Diwulská</cp:lastModifiedBy>
  <cp:revision>4</cp:revision>
  <cp:lastPrinted>2016-06-08T07:57:00Z</cp:lastPrinted>
  <dcterms:created xsi:type="dcterms:W3CDTF">2025-07-01T10:36:00Z</dcterms:created>
  <dcterms:modified xsi:type="dcterms:W3CDTF">2025-07-04T10:24:00Z</dcterms:modified>
</cp:coreProperties>
</file>