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76026B" w:rsidRDefault="00362304" w:rsidP="00D34284">
      <w:pPr>
        <w:pStyle w:val="Zhlav"/>
        <w:rPr>
          <w:lang w:val="cs-CZ"/>
        </w:rPr>
      </w:pPr>
      <w:r>
        <w:rPr>
          <w:rFonts w:eastAsia="Times New Roman" w:cs="Arial"/>
          <w:b/>
          <w:caps/>
          <w:sz w:val="24"/>
          <w:szCs w:val="24"/>
          <w:lang w:val="cs-CZ" w:eastAsia="cs-CZ"/>
        </w:rPr>
        <w:t xml:space="preserve">       </w:t>
      </w:r>
      <w:r w:rsidR="00D34284" w:rsidRPr="0076026B">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67780609"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2E3F99">
        <w:rPr>
          <w:rFonts w:asciiTheme="majorHAnsi" w:eastAsia="Times New Roman" w:hAnsiTheme="majorHAnsi" w:cstheme="majorHAnsi"/>
          <w:b/>
          <w:bCs/>
          <w:sz w:val="22"/>
          <w:szCs w:val="22"/>
          <w:lang w:val="cs-CZ" w:eastAsia="cs-CZ"/>
        </w:rPr>
        <w:t>Ultrazvukové přístroje</w:t>
      </w:r>
      <w:r w:rsidR="007014E9" w:rsidRPr="007014E9">
        <w:rPr>
          <w:rFonts w:asciiTheme="majorHAnsi" w:eastAsia="Times New Roman" w:hAnsiTheme="majorHAnsi" w:cstheme="majorHAnsi"/>
          <w:b/>
          <w:bCs/>
          <w:sz w:val="22"/>
          <w:szCs w:val="22"/>
          <w:lang w:val="cs-CZ" w:eastAsia="cs-CZ"/>
        </w:rPr>
        <w:t xml:space="preserve"> pro ambulanci</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3E92E248"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 a nerušeném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2E3F99">
        <w:rPr>
          <w:rFonts w:asciiTheme="majorHAnsi" w:eastAsia="Times New Roman" w:hAnsiTheme="majorHAnsi" w:cstheme="majorHAnsi"/>
          <w:b/>
          <w:bCs/>
          <w:sz w:val="22"/>
          <w:szCs w:val="22"/>
          <w:u w:val="single"/>
          <w:lang w:val="cs-CZ" w:eastAsia="cs-CZ"/>
        </w:rPr>
        <w:t>Ultrazvukové přístroje</w:t>
      </w:r>
      <w:r w:rsidR="007014E9" w:rsidRPr="007014E9">
        <w:rPr>
          <w:rFonts w:asciiTheme="majorHAnsi" w:eastAsia="Times New Roman" w:hAnsiTheme="majorHAnsi" w:cstheme="majorHAnsi"/>
          <w:b/>
          <w:bCs/>
          <w:sz w:val="22"/>
          <w:szCs w:val="22"/>
          <w:u w:val="single"/>
          <w:lang w:val="cs-CZ" w:eastAsia="cs-CZ"/>
        </w:rPr>
        <w:t xml:space="preserve"> pro ambulanci</w:t>
      </w:r>
      <w:r w:rsidR="0076026B" w:rsidRPr="0076026B">
        <w:rPr>
          <w:rFonts w:asciiTheme="majorHAnsi" w:eastAsia="Times New Roman" w:hAnsiTheme="majorHAnsi" w:cstheme="majorHAnsi"/>
          <w:b/>
          <w:bCs/>
          <w:sz w:val="22"/>
          <w:szCs w:val="22"/>
          <w:lang w:val="cs-CZ" w:eastAsia="cs-CZ"/>
        </w:rPr>
        <w:t xml:space="preserve">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proofErr w:type="spellStart"/>
      <w:r w:rsidR="008F130E" w:rsidRPr="00883040">
        <w:rPr>
          <w:rFonts w:asciiTheme="majorHAnsi" w:hAnsiTheme="majorHAnsi" w:cstheme="majorHAnsi"/>
          <w:sz w:val="22"/>
          <w:szCs w:val="22"/>
        </w:rPr>
        <w:t>Předmětem</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této</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smlouvy</w:t>
      </w:r>
      <w:proofErr w:type="spellEnd"/>
      <w:r w:rsidR="008F130E" w:rsidRPr="00883040">
        <w:rPr>
          <w:rFonts w:asciiTheme="majorHAnsi" w:hAnsiTheme="majorHAnsi" w:cstheme="majorHAnsi"/>
          <w:sz w:val="22"/>
          <w:szCs w:val="22"/>
        </w:rPr>
        <w:t xml:space="preserve"> je </w:t>
      </w:r>
      <w:proofErr w:type="spellStart"/>
      <w:r w:rsidR="008F130E" w:rsidRPr="00883040">
        <w:rPr>
          <w:rFonts w:asciiTheme="majorHAnsi" w:hAnsiTheme="majorHAnsi" w:cstheme="majorHAnsi"/>
          <w:sz w:val="22"/>
          <w:szCs w:val="22"/>
        </w:rPr>
        <w:t>následující</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zboží</w:t>
      </w:r>
      <w:proofErr w:type="spellEnd"/>
      <w:r w:rsidR="008F130E" w:rsidRPr="00883040">
        <w:rPr>
          <w:rFonts w:asciiTheme="majorHAnsi" w:hAnsiTheme="majorHAnsi" w:cstheme="majorHAnsi"/>
          <w:sz w:val="22"/>
          <w:szCs w:val="22"/>
        </w:rPr>
        <w:t xml:space="preserve">: </w:t>
      </w:r>
    </w:p>
    <w:p w14:paraId="3888F014" w14:textId="056662E8" w:rsidR="008F130E" w:rsidRDefault="00D03BE6" w:rsidP="00B27B7F">
      <w:pPr>
        <w:pStyle w:val="Odstavecseseznamem"/>
        <w:numPr>
          <w:ilvl w:val="0"/>
          <w:numId w:val="47"/>
        </w:numPr>
        <w:spacing w:before="120" w:after="120" w:line="240" w:lineRule="auto"/>
        <w:contextualSpacing w:val="0"/>
        <w:jc w:val="both"/>
        <w:rPr>
          <w:rFonts w:asciiTheme="majorHAnsi" w:hAnsiTheme="majorHAnsi" w:cstheme="majorHAnsi"/>
        </w:rPr>
      </w:pPr>
      <w:bookmarkStart w:id="8" w:name="_Hlk202341753"/>
      <w:r>
        <w:rPr>
          <w:rFonts w:asciiTheme="majorHAnsi" w:hAnsiTheme="majorHAnsi" w:cstheme="majorHAnsi"/>
          <w:b/>
          <w:bCs/>
        </w:rPr>
        <w:t>ultrazvukový</w:t>
      </w:r>
      <w:r w:rsidR="007014E9" w:rsidRPr="007014E9">
        <w:rPr>
          <w:rFonts w:asciiTheme="majorHAnsi" w:hAnsiTheme="majorHAnsi" w:cstheme="majorHAnsi"/>
          <w:b/>
          <w:bCs/>
        </w:rPr>
        <w:t xml:space="preserve"> přístroj pro ambulanci</w:t>
      </w:r>
      <w:r w:rsidR="00353FE3" w:rsidRPr="007014E9">
        <w:rPr>
          <w:rFonts w:asciiTheme="majorHAnsi" w:hAnsiTheme="majorHAnsi" w:cstheme="majorHAnsi"/>
          <w:b/>
          <w:bCs/>
        </w:rPr>
        <w:t xml:space="preserve"> </w:t>
      </w:r>
      <w:r w:rsidR="002E3F99">
        <w:rPr>
          <w:rFonts w:asciiTheme="majorHAnsi" w:hAnsiTheme="majorHAnsi" w:cstheme="majorHAnsi"/>
          <w:i/>
        </w:rPr>
        <w:t xml:space="preserve">– </w:t>
      </w:r>
      <w:bookmarkStart w:id="9" w:name="_Hlk202341866"/>
      <w:r w:rsidR="002E3F99" w:rsidRPr="002E3F99">
        <w:rPr>
          <w:rFonts w:asciiTheme="majorHAnsi" w:hAnsiTheme="majorHAnsi" w:cstheme="majorHAnsi"/>
          <w:i/>
        </w:rPr>
        <w:t>stacionární</w:t>
      </w:r>
      <w:bookmarkEnd w:id="9"/>
      <w:r w:rsidR="002E3F99">
        <w:rPr>
          <w:rFonts w:asciiTheme="majorHAnsi" w:hAnsiTheme="majorHAnsi" w:cstheme="majorHAnsi"/>
          <w:i/>
        </w:rPr>
        <w:t xml:space="preserve"> </w:t>
      </w:r>
      <w:r w:rsidR="00F60BD0" w:rsidRPr="007014E9">
        <w:rPr>
          <w:rFonts w:asciiTheme="majorHAnsi" w:hAnsiTheme="majorHAnsi" w:cstheme="majorHAnsi"/>
          <w:i/>
        </w:rPr>
        <w:t xml:space="preserve">- </w:t>
      </w:r>
      <w:r w:rsidR="007014E9" w:rsidRPr="007014E9">
        <w:rPr>
          <w:rFonts w:asciiTheme="majorHAnsi" w:hAnsiTheme="majorHAnsi" w:cstheme="majorHAnsi"/>
          <w:i/>
        </w:rPr>
        <w:t xml:space="preserve">2 </w:t>
      </w:r>
      <w:r w:rsidR="00353FE3" w:rsidRPr="007014E9">
        <w:rPr>
          <w:rFonts w:asciiTheme="majorHAnsi" w:hAnsiTheme="majorHAnsi" w:cstheme="majorHAnsi"/>
          <w:i/>
        </w:rPr>
        <w:t xml:space="preserve">ks, </w:t>
      </w:r>
      <w:r w:rsidR="008F130E" w:rsidRPr="007014E9">
        <w:rPr>
          <w:rFonts w:asciiTheme="majorHAnsi" w:hAnsiTheme="majorHAnsi" w:cstheme="majorHAnsi"/>
          <w:i/>
        </w:rPr>
        <w:t>typové označení</w:t>
      </w:r>
      <w:r w:rsidR="00B46B6F" w:rsidRPr="007014E9">
        <w:rPr>
          <w:rFonts w:asciiTheme="majorHAnsi" w:hAnsiTheme="majorHAnsi" w:cstheme="majorHAnsi"/>
          <w:i/>
        </w:rPr>
        <w:t>…………</w:t>
      </w:r>
      <w:r w:rsidR="008F130E" w:rsidRPr="007014E9">
        <w:rPr>
          <w:rFonts w:asciiTheme="majorHAnsi" w:hAnsiTheme="majorHAnsi" w:cstheme="majorHAnsi"/>
        </w:rPr>
        <w:t xml:space="preserve">, </w:t>
      </w:r>
      <w:r w:rsidR="008F130E" w:rsidRPr="007014E9">
        <w:rPr>
          <w:rFonts w:asciiTheme="majorHAnsi" w:hAnsiTheme="majorHAnsi" w:cstheme="majorHAnsi"/>
          <w:i/>
        </w:rPr>
        <w:t>(výrobce)</w:t>
      </w:r>
      <w:r w:rsidR="008F130E" w:rsidRPr="007014E9">
        <w:rPr>
          <w:rFonts w:asciiTheme="majorHAnsi" w:hAnsiTheme="majorHAnsi" w:cstheme="majorHAnsi"/>
        </w:rPr>
        <w:t xml:space="preserve"> …………</w:t>
      </w:r>
      <w:proofErr w:type="gramStart"/>
      <w:r w:rsidR="008F130E" w:rsidRPr="007014E9">
        <w:rPr>
          <w:rFonts w:asciiTheme="majorHAnsi" w:hAnsiTheme="majorHAnsi" w:cstheme="majorHAnsi"/>
        </w:rPr>
        <w:t>…….</w:t>
      </w:r>
      <w:proofErr w:type="gramEnd"/>
      <w:r w:rsidR="008F130E" w:rsidRPr="007014E9">
        <w:rPr>
          <w:rFonts w:asciiTheme="majorHAnsi" w:hAnsiTheme="majorHAnsi" w:cstheme="majorHAnsi"/>
        </w:rPr>
        <w:t>.</w:t>
      </w:r>
      <w:bookmarkEnd w:id="8"/>
    </w:p>
    <w:p w14:paraId="79BED260" w14:textId="43ED04FB" w:rsidR="002E3F99" w:rsidRDefault="002E3F99" w:rsidP="00B27B7F">
      <w:pPr>
        <w:pStyle w:val="Odstavecseseznamem"/>
        <w:numPr>
          <w:ilvl w:val="0"/>
          <w:numId w:val="47"/>
        </w:numPr>
        <w:spacing w:before="120" w:after="120" w:line="240" w:lineRule="auto"/>
        <w:contextualSpacing w:val="0"/>
        <w:jc w:val="both"/>
        <w:rPr>
          <w:rFonts w:asciiTheme="majorHAnsi" w:hAnsiTheme="majorHAnsi" w:cstheme="majorHAnsi"/>
        </w:rPr>
      </w:pPr>
      <w:r>
        <w:rPr>
          <w:rFonts w:asciiTheme="majorHAnsi" w:hAnsiTheme="majorHAnsi" w:cstheme="majorHAnsi"/>
          <w:b/>
          <w:bCs/>
        </w:rPr>
        <w:t>ultrazvukový</w:t>
      </w:r>
      <w:r w:rsidRPr="007014E9">
        <w:rPr>
          <w:rFonts w:asciiTheme="majorHAnsi" w:hAnsiTheme="majorHAnsi" w:cstheme="majorHAnsi"/>
          <w:b/>
          <w:bCs/>
        </w:rPr>
        <w:t xml:space="preserve"> přístroj pro ambulanci </w:t>
      </w:r>
      <w:r>
        <w:rPr>
          <w:rFonts w:asciiTheme="majorHAnsi" w:hAnsiTheme="majorHAnsi" w:cstheme="majorHAnsi"/>
          <w:i/>
        </w:rPr>
        <w:t xml:space="preserve">– </w:t>
      </w:r>
      <w:r w:rsidRPr="002E3F99">
        <w:rPr>
          <w:rFonts w:asciiTheme="majorHAnsi" w:hAnsiTheme="majorHAnsi" w:cstheme="majorHAnsi"/>
          <w:i/>
        </w:rPr>
        <w:t>mobilní</w:t>
      </w:r>
      <w:r>
        <w:rPr>
          <w:rFonts w:asciiTheme="majorHAnsi" w:hAnsiTheme="majorHAnsi" w:cstheme="majorHAnsi"/>
          <w:i/>
        </w:rPr>
        <w:t xml:space="preserve"> </w:t>
      </w:r>
      <w:r w:rsidRPr="007014E9">
        <w:rPr>
          <w:rFonts w:asciiTheme="majorHAnsi" w:hAnsiTheme="majorHAnsi" w:cstheme="majorHAnsi"/>
          <w:i/>
        </w:rPr>
        <w:t xml:space="preserve">- </w:t>
      </w:r>
      <w:r>
        <w:rPr>
          <w:rFonts w:asciiTheme="majorHAnsi" w:hAnsiTheme="majorHAnsi" w:cstheme="majorHAnsi"/>
          <w:i/>
        </w:rPr>
        <w:t>1</w:t>
      </w:r>
      <w:r w:rsidRPr="007014E9">
        <w:rPr>
          <w:rFonts w:asciiTheme="majorHAnsi" w:hAnsiTheme="majorHAnsi" w:cstheme="majorHAnsi"/>
          <w:i/>
        </w:rPr>
        <w:t xml:space="preserve"> ks, typové označení…………</w:t>
      </w:r>
      <w:r w:rsidRPr="007014E9">
        <w:rPr>
          <w:rFonts w:asciiTheme="majorHAnsi" w:hAnsiTheme="majorHAnsi" w:cstheme="majorHAnsi"/>
        </w:rPr>
        <w:t xml:space="preserve">, </w:t>
      </w:r>
      <w:r w:rsidRPr="007014E9">
        <w:rPr>
          <w:rFonts w:asciiTheme="majorHAnsi" w:hAnsiTheme="majorHAnsi" w:cstheme="majorHAnsi"/>
          <w:i/>
        </w:rPr>
        <w:t>(výrobce)</w:t>
      </w:r>
      <w:r w:rsidRPr="007014E9">
        <w:rPr>
          <w:rFonts w:asciiTheme="majorHAnsi" w:hAnsiTheme="majorHAnsi" w:cstheme="majorHAnsi"/>
        </w:rPr>
        <w:t xml:space="preserve"> …………</w:t>
      </w:r>
      <w:proofErr w:type="gramStart"/>
      <w:r w:rsidRPr="007014E9">
        <w:rPr>
          <w:rFonts w:asciiTheme="majorHAnsi" w:hAnsiTheme="majorHAnsi" w:cstheme="majorHAnsi"/>
        </w:rPr>
        <w:t>…….</w:t>
      </w:r>
      <w:proofErr w:type="gramEnd"/>
      <w:r w:rsidRPr="007014E9">
        <w:rPr>
          <w:rFonts w:asciiTheme="majorHAnsi" w:hAnsiTheme="majorHAnsi" w:cstheme="majorHAnsi"/>
        </w:rPr>
        <w:t>.</w:t>
      </w:r>
    </w:p>
    <w:p w14:paraId="5A0FD422" w14:textId="77777777" w:rsidR="002E3F99" w:rsidRPr="00E62AE9" w:rsidRDefault="002E3F99" w:rsidP="00353FE3">
      <w:pPr>
        <w:pStyle w:val="Odstavecseseznamem"/>
        <w:spacing w:before="120" w:after="120" w:line="240" w:lineRule="auto"/>
        <w:ind w:left="785"/>
        <w:contextualSpacing w:val="0"/>
        <w:jc w:val="both"/>
        <w:rPr>
          <w:rFonts w:asciiTheme="majorHAnsi" w:hAnsiTheme="majorHAnsi" w:cstheme="majorHAnsi"/>
          <w:highlight w:val="yellow"/>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 xml:space="preserve">uje, že v době </w:t>
      </w:r>
      <w:r w:rsidR="009D4E04" w:rsidRPr="00883040">
        <w:rPr>
          <w:rFonts w:asciiTheme="majorHAnsi" w:hAnsiTheme="majorHAnsi" w:cstheme="majorHAnsi"/>
        </w:rPr>
        <w:lastRenderedPageBreak/>
        <w:t>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595B2CFA"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5C5628" w:rsidRDefault="005C5628" w:rsidP="005C5628">
      <w:pPr>
        <w:ind w:left="0"/>
        <w:rPr>
          <w:rFonts w:asciiTheme="majorHAnsi" w:eastAsia="Times New Roman" w:hAnsiTheme="majorHAnsi" w:cstheme="majorHAnsi"/>
          <w:lang w:eastAsia="cs-CZ"/>
        </w:rPr>
      </w:pPr>
    </w:p>
    <w:p w14:paraId="3499E787" w14:textId="38E6E88E" w:rsidR="005C5628" w:rsidRPr="005C5628" w:rsidRDefault="005C5628" w:rsidP="005C5628">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 xml:space="preserve">Prodávající zajistí poskytování záručního servisu a podpory pro dodávaný Předmět plnění plně v souladu </w:t>
      </w:r>
      <w:r>
        <w:rPr>
          <w:rFonts w:asciiTheme="majorHAnsi" w:hAnsiTheme="majorHAnsi" w:cstheme="majorHAnsi"/>
        </w:rPr>
        <w:br/>
      </w:r>
      <w:r w:rsidRPr="00883040">
        <w:rPr>
          <w:rFonts w:asciiTheme="majorHAnsi" w:hAnsiTheme="majorHAnsi" w:cstheme="majorHAnsi"/>
        </w:rPr>
        <w:t>se všemi doporučeními výrobce a manuály k Předmětu plnění, a to minimálně po dobu trvání záruky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25E286B6" w14:textId="77777777" w:rsidR="00DF02F6"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042C40" w:rsidRDefault="00DF02F6" w:rsidP="00DF02F6">
      <w:pPr>
        <w:numPr>
          <w:ilvl w:val="0"/>
          <w:numId w:val="18"/>
        </w:numPr>
        <w:ind w:left="990"/>
        <w:jc w:val="both"/>
        <w:rPr>
          <w:rFonts w:asciiTheme="majorHAnsi" w:hAnsiTheme="majorHAnsi" w:cstheme="majorHAnsi"/>
          <w:sz w:val="22"/>
          <w:szCs w:val="22"/>
          <w:lang w:val="cs-CZ"/>
        </w:rPr>
      </w:pPr>
      <w:bookmarkStart w:id="10" w:name="_Hlk199921522"/>
      <w:r w:rsidRPr="00042C40">
        <w:rPr>
          <w:rFonts w:asciiTheme="majorHAnsi" w:hAnsiTheme="majorHAnsi" w:cstheme="majorHAnsi"/>
          <w:b/>
          <w:bCs/>
          <w:sz w:val="22"/>
          <w:szCs w:val="22"/>
          <w:lang w:val="cs-CZ"/>
        </w:rPr>
        <w:t>předání veškeré dokumentace nutné k převzetí a užívání Předmětu plnění</w:t>
      </w:r>
      <w:r w:rsidRPr="00042C40">
        <w:rPr>
          <w:rFonts w:asciiTheme="majorHAnsi" w:hAnsiTheme="majorHAnsi" w:cstheme="majorHAnsi"/>
          <w:sz w:val="22"/>
          <w:szCs w:val="22"/>
          <w:lang w:val="cs-CZ"/>
        </w:rPr>
        <w:t>:</w:t>
      </w:r>
    </w:p>
    <w:p w14:paraId="1F2782F6" w14:textId="77777777" w:rsidR="00DF02F6" w:rsidRPr="00042C40" w:rsidRDefault="00DF02F6" w:rsidP="00DF02F6">
      <w:pPr>
        <w:pStyle w:val="Odstavecseseznamem"/>
        <w:ind w:left="990" w:firstLine="30"/>
        <w:jc w:val="both"/>
        <w:rPr>
          <w:rFonts w:asciiTheme="minorHAnsi" w:hAnsiTheme="minorHAnsi" w:cstheme="minorHAnsi"/>
        </w:rPr>
      </w:pPr>
      <w:r w:rsidRPr="00042C40">
        <w:rPr>
          <w:rFonts w:asciiTheme="minorHAnsi" w:hAnsiTheme="minorHAnsi" w:cstheme="minorHAnsi"/>
        </w:rPr>
        <w:t xml:space="preserve">s předáním předmětu plnění vystaví prodávající </w:t>
      </w:r>
      <w:r w:rsidRPr="00042C40">
        <w:rPr>
          <w:rFonts w:asciiTheme="minorHAnsi" w:hAnsiTheme="minorHAnsi" w:cstheme="minorHAnsi"/>
          <w:b/>
          <w:bCs/>
        </w:rPr>
        <w:t>následující doklady</w:t>
      </w:r>
      <w:r w:rsidRPr="00042C40">
        <w:rPr>
          <w:rFonts w:asciiTheme="minorHAnsi" w:hAnsiTheme="minorHAnsi" w:cstheme="minorHAnsi"/>
        </w:rPr>
        <w:t>, které budou obsahovat níže uvedené náležitosti:</w:t>
      </w:r>
    </w:p>
    <w:p w14:paraId="49D7E72A" w14:textId="77777777" w:rsidR="00DF02F6" w:rsidRPr="00042C40" w:rsidRDefault="00DF02F6" w:rsidP="00DF02F6">
      <w:pPr>
        <w:pStyle w:val="Odstavecseseznamem"/>
        <w:jc w:val="both"/>
        <w:rPr>
          <w:rFonts w:asciiTheme="minorHAnsi" w:hAnsiTheme="minorHAnsi" w:cstheme="minorHAnsi"/>
          <w:i/>
          <w:iCs/>
        </w:rPr>
      </w:pPr>
    </w:p>
    <w:p w14:paraId="7ACC2141" w14:textId="77777777" w:rsidR="00DF02F6" w:rsidRPr="00042C40" w:rsidRDefault="00DF02F6" w:rsidP="00DF02F6">
      <w:pPr>
        <w:pStyle w:val="Odstavecseseznamem"/>
        <w:numPr>
          <w:ilvl w:val="0"/>
          <w:numId w:val="44"/>
        </w:numPr>
        <w:suppressAutoHyphens/>
        <w:autoSpaceDN w:val="0"/>
        <w:spacing w:after="160"/>
        <w:jc w:val="both"/>
        <w:rPr>
          <w:rFonts w:asciiTheme="minorHAnsi" w:hAnsiTheme="minorHAnsi" w:cstheme="minorHAnsi"/>
        </w:rPr>
      </w:pPr>
      <w:r w:rsidRPr="00042C40">
        <w:rPr>
          <w:rFonts w:asciiTheme="minorHAnsi" w:hAnsiTheme="minorHAnsi" w:cstheme="minorHAnsi"/>
          <w:b/>
          <w:bCs/>
        </w:rPr>
        <w:t>Předávací protokol</w:t>
      </w:r>
      <w:r w:rsidRPr="00042C40">
        <w:rPr>
          <w:rFonts w:asciiTheme="minorHAnsi" w:hAnsiTheme="minorHAnsi" w:cstheme="minorHAnsi"/>
        </w:rPr>
        <w:t xml:space="preserve"> s uvedením:</w:t>
      </w:r>
    </w:p>
    <w:p w14:paraId="0424A324" w14:textId="77777777" w:rsidR="00DF02F6" w:rsidRPr="00042C40" w:rsidRDefault="00DF02F6" w:rsidP="00DF02F6">
      <w:pPr>
        <w:pStyle w:val="Odstavecseseznamem"/>
        <w:numPr>
          <w:ilvl w:val="0"/>
          <w:numId w:val="46"/>
        </w:numPr>
        <w:suppressAutoHyphens/>
        <w:autoSpaceDN w:val="0"/>
        <w:spacing w:after="160"/>
        <w:jc w:val="both"/>
        <w:rPr>
          <w:rFonts w:asciiTheme="minorHAnsi" w:hAnsiTheme="minorHAnsi" w:cstheme="minorHAnsi"/>
        </w:rPr>
      </w:pPr>
      <w:r w:rsidRPr="00042C40">
        <w:rPr>
          <w:rFonts w:asciiTheme="minorHAnsi" w:hAnsiTheme="minorHAnsi" w:cstheme="minorHAnsi"/>
        </w:rPr>
        <w:lastRenderedPageBreak/>
        <w:t>názvu a sídla prodávajícího a kupujícího</w:t>
      </w:r>
    </w:p>
    <w:p w14:paraId="0C935E8B"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čísla kupní smlouvy kupujícího</w:t>
      </w:r>
    </w:p>
    <w:p w14:paraId="0C9EB265"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názvu, typu a modelu přístroje</w:t>
      </w:r>
    </w:p>
    <w:p w14:paraId="3F2E938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výrobního čísla zdravotnického prostředku (přístroje)</w:t>
      </w:r>
    </w:p>
    <w:p w14:paraId="78DD61EC"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UDI kódu zdravotnického prostředku (přístroje)</w:t>
      </w:r>
    </w:p>
    <w:p w14:paraId="6002A56D"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ÚZIS kódu zdravotnického prostředku (přístroje)</w:t>
      </w:r>
    </w:p>
    <w:p w14:paraId="609128D4"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 xml:space="preserve">stanovením třídy zdravotnického prostředku (přístroje) (I, </w:t>
      </w:r>
      <w:proofErr w:type="spellStart"/>
      <w:r w:rsidRPr="00042C40">
        <w:rPr>
          <w:rFonts w:asciiTheme="majorHAnsi" w:hAnsiTheme="majorHAnsi" w:cstheme="majorHAnsi"/>
        </w:rPr>
        <w:t>IIa</w:t>
      </w:r>
      <w:proofErr w:type="spellEnd"/>
      <w:r w:rsidRPr="00042C40">
        <w:rPr>
          <w:rFonts w:asciiTheme="majorHAnsi" w:hAnsiTheme="majorHAnsi" w:cstheme="majorHAnsi"/>
        </w:rPr>
        <w:t xml:space="preserve">, </w:t>
      </w:r>
      <w:proofErr w:type="spellStart"/>
      <w:r w:rsidRPr="00042C40">
        <w:rPr>
          <w:rFonts w:asciiTheme="majorHAnsi" w:hAnsiTheme="majorHAnsi" w:cstheme="majorHAnsi"/>
        </w:rPr>
        <w:t>IIb</w:t>
      </w:r>
      <w:proofErr w:type="spellEnd"/>
      <w:r w:rsidRPr="00042C40">
        <w:rPr>
          <w:rFonts w:asciiTheme="majorHAnsi" w:hAnsiTheme="majorHAnsi" w:cstheme="majorHAnsi"/>
        </w:rPr>
        <w:t>, III)</w:t>
      </w:r>
    </w:p>
    <w:p w14:paraId="3BD82BE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potvrzením o instalaci a přezkoušení zdravotnického prostředku (přístroje)</w:t>
      </w:r>
    </w:p>
    <w:p w14:paraId="6F18089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stavu zařízení v okamžiku jeho předání a převzetí</w:t>
      </w:r>
    </w:p>
    <w:p w14:paraId="00668238" w14:textId="77777777" w:rsidR="00DF02F6" w:rsidRPr="00042C40" w:rsidRDefault="00DF02F6" w:rsidP="00DF02F6">
      <w:pPr>
        <w:ind w:left="1800"/>
        <w:jc w:val="both"/>
        <w:rPr>
          <w:rFonts w:asciiTheme="majorHAnsi" w:hAnsiTheme="majorHAnsi" w:cstheme="majorHAnsi"/>
          <w:sz w:val="22"/>
          <w:szCs w:val="22"/>
          <w:lang w:val="cs-CZ"/>
        </w:rPr>
      </w:pPr>
      <w:r w:rsidRPr="00042C40">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779E447B" w14:textId="77777777" w:rsidR="00DF02F6" w:rsidRPr="00042C40" w:rsidRDefault="00DF02F6" w:rsidP="00DF02F6">
      <w:pPr>
        <w:jc w:val="both"/>
        <w:rPr>
          <w:rFonts w:asciiTheme="majorHAnsi" w:hAnsiTheme="majorHAnsi" w:cstheme="majorHAnsi"/>
          <w:sz w:val="22"/>
          <w:szCs w:val="22"/>
          <w:lang w:val="cs-CZ"/>
        </w:rPr>
      </w:pPr>
    </w:p>
    <w:p w14:paraId="0DB60DFC" w14:textId="77777777" w:rsidR="00DF02F6" w:rsidRPr="00042C40" w:rsidRDefault="00DF02F6" w:rsidP="00DF02F6">
      <w:pPr>
        <w:pStyle w:val="Odstavecseseznamem"/>
        <w:ind w:left="1800"/>
        <w:jc w:val="both"/>
        <w:rPr>
          <w:rFonts w:asciiTheme="majorHAnsi" w:hAnsiTheme="majorHAnsi" w:cstheme="majorHAnsi"/>
        </w:rPr>
      </w:pPr>
    </w:p>
    <w:p w14:paraId="1C43429B"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Návod k obsluze (a údržbě) v tištěné a elektronické podobě v českém jazyce</w:t>
      </w:r>
    </w:p>
    <w:p w14:paraId="5B5F07C7"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Certifikát školitele předmětu plnění</w:t>
      </w:r>
    </w:p>
    <w:p w14:paraId="6FE18E00"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Zaškolovací protokol (orazítkovaný, podepsaný školitelem) s uvedením všech účastníků školení</w:t>
      </w:r>
    </w:p>
    <w:p w14:paraId="3B11911C"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Doklady o zkouškách dlouhodobé stability a provozní stálosti</w:t>
      </w:r>
    </w:p>
    <w:p w14:paraId="2BF8A36F"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Doklady o provedených revizích, instrukce, záruční (reklamační) listy, validační protokol, a to vše v českém jazyce,</w:t>
      </w:r>
    </w:p>
    <w:p w14:paraId="7CA29F01"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Dodací list, záruční (reklamační) list</w:t>
      </w:r>
    </w:p>
    <w:p w14:paraId="6024ADEE" w14:textId="64843263"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10"/>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121EE5B7"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A2A0D" w:rsidRPr="00F81DEC">
        <w:rPr>
          <w:rFonts w:asciiTheme="majorHAnsi" w:hAnsiTheme="majorHAnsi" w:cstheme="majorHAnsi"/>
          <w:sz w:val="22"/>
          <w:szCs w:val="22"/>
          <w:lang w:val="cs-CZ"/>
        </w:rPr>
        <w:t xml:space="preserve">10 let 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60BDEA70"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179ACFFB" w14:textId="2F2F0D50" w:rsidR="002E3F99" w:rsidRPr="00883040" w:rsidRDefault="002E3F99" w:rsidP="002E3F99">
      <w:pPr>
        <w:pStyle w:val="Odstavecseseznamem"/>
        <w:numPr>
          <w:ilvl w:val="0"/>
          <w:numId w:val="40"/>
        </w:numPr>
        <w:tabs>
          <w:tab w:val="num" w:pos="426"/>
        </w:tabs>
        <w:spacing w:before="120" w:after="0" w:line="240" w:lineRule="auto"/>
        <w:contextualSpacing w:val="0"/>
        <w:jc w:val="both"/>
        <w:rPr>
          <w:rFonts w:asciiTheme="majorHAnsi" w:hAnsiTheme="majorHAnsi" w:cstheme="majorHAnsi"/>
        </w:rPr>
      </w:pPr>
      <w:r w:rsidRPr="002E3F99">
        <w:rPr>
          <w:rFonts w:asciiTheme="majorHAnsi" w:hAnsiTheme="majorHAnsi" w:cstheme="majorHAnsi"/>
          <w:b/>
          <w:bCs/>
        </w:rPr>
        <w:t>Ultrazvukový přístroj pro ambulanci – stacionární – 2 ks</w:t>
      </w:r>
      <w:r w:rsidRPr="00883040">
        <w:rPr>
          <w:rFonts w:asciiTheme="majorHAnsi" w:hAnsiTheme="majorHAnsi" w:cstheme="majorHAnsi"/>
          <w:i/>
          <w:highlight w:val="green"/>
        </w:rPr>
        <w:t xml:space="preserve"> </w:t>
      </w:r>
    </w:p>
    <w:p w14:paraId="29298263" w14:textId="77777777" w:rsidR="002E3F99" w:rsidRPr="00883040" w:rsidRDefault="002E3F99" w:rsidP="002E3F99">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Pr="00883040">
        <w:rPr>
          <w:rFonts w:asciiTheme="majorHAnsi" w:hAnsiTheme="majorHAnsi" w:cstheme="majorHAnsi"/>
        </w:rPr>
        <w:t xml:space="preserve"> </w:t>
      </w:r>
      <w:r w:rsidRPr="00751D14">
        <w:rPr>
          <w:rFonts w:asciiTheme="majorHAnsi" w:hAnsiTheme="majorHAnsi" w:cstheme="majorHAnsi"/>
          <w:b/>
          <w:highlight w:val="yellow"/>
        </w:rPr>
        <w:t>……………</w:t>
      </w:r>
    </w:p>
    <w:p w14:paraId="387BDE44" w14:textId="77777777" w:rsidR="002E3F99" w:rsidRPr="00883040" w:rsidRDefault="002E3F99" w:rsidP="002E3F99">
      <w:pPr>
        <w:tabs>
          <w:tab w:val="num" w:pos="426"/>
        </w:tabs>
        <w:spacing w:before="120"/>
        <w:ind w:left="425"/>
        <w:jc w:val="both"/>
        <w:rPr>
          <w:rFonts w:asciiTheme="majorHAnsi" w:hAnsiTheme="majorHAnsi" w:cstheme="majorHAnsi"/>
          <w:sz w:val="22"/>
          <w:szCs w:val="22"/>
        </w:rPr>
      </w:pPr>
      <w:r w:rsidRPr="00883040">
        <w:rPr>
          <w:rFonts w:asciiTheme="majorHAnsi" w:hAnsiTheme="majorHAnsi" w:cstheme="majorHAnsi"/>
          <w:sz w:val="22"/>
          <w:szCs w:val="22"/>
        </w:rPr>
        <w:t xml:space="preserve">Cena </w:t>
      </w:r>
      <w:proofErr w:type="spellStart"/>
      <w:r w:rsidRPr="00883040">
        <w:rPr>
          <w:rFonts w:asciiTheme="majorHAnsi" w:hAnsiTheme="majorHAnsi" w:cstheme="majorHAnsi"/>
          <w:sz w:val="22"/>
          <w:szCs w:val="22"/>
        </w:rPr>
        <w:t>celkem</w:t>
      </w:r>
      <w:proofErr w:type="spellEnd"/>
      <w:r w:rsidRPr="00883040">
        <w:rPr>
          <w:rFonts w:asciiTheme="majorHAnsi" w:hAnsiTheme="majorHAnsi" w:cstheme="majorHAnsi"/>
          <w:sz w:val="22"/>
          <w:szCs w:val="22"/>
        </w:rPr>
        <w:t xml:space="preserve"> bez DPH:</w:t>
      </w:r>
      <w:r w:rsidRPr="00883040">
        <w:rPr>
          <w:rFonts w:asciiTheme="majorHAnsi" w:hAnsiTheme="majorHAnsi" w:cstheme="majorHAnsi"/>
          <w:sz w:val="22"/>
          <w:szCs w:val="22"/>
        </w:rPr>
        <w:tab/>
      </w:r>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roofErr w:type="spellEnd"/>
    </w:p>
    <w:p w14:paraId="030AA96E" w14:textId="77777777" w:rsidR="002E3F99" w:rsidRPr="00883040" w:rsidRDefault="002E3F99" w:rsidP="002E3F99">
      <w:pPr>
        <w:tabs>
          <w:tab w:val="num" w:pos="426"/>
        </w:tabs>
        <w:ind w:left="426"/>
        <w:jc w:val="both"/>
        <w:rPr>
          <w:rFonts w:asciiTheme="majorHAnsi" w:hAnsiTheme="majorHAnsi" w:cstheme="majorHAnsi"/>
          <w:sz w:val="22"/>
          <w:szCs w:val="22"/>
        </w:rPr>
      </w:pPr>
      <w:r w:rsidRPr="00883040">
        <w:rPr>
          <w:rFonts w:asciiTheme="majorHAnsi" w:hAnsiTheme="majorHAnsi" w:cstheme="majorHAnsi"/>
          <w:sz w:val="22"/>
          <w:szCs w:val="22"/>
        </w:rPr>
        <w:t>DPH (</w:t>
      </w:r>
      <w:proofErr w:type="gramStart"/>
      <w:r w:rsidRPr="00883040">
        <w:rPr>
          <w:rFonts w:asciiTheme="majorHAnsi" w:hAnsiTheme="majorHAnsi" w:cstheme="majorHAnsi"/>
          <w:sz w:val="22"/>
          <w:szCs w:val="22"/>
          <w:highlight w:val="yellow"/>
        </w:rPr>
        <w:t>…..</w:t>
      </w:r>
      <w:proofErr w:type="gramEnd"/>
      <w:r w:rsidRPr="00883040">
        <w:rPr>
          <w:rFonts w:asciiTheme="majorHAnsi" w:hAnsiTheme="majorHAnsi" w:cstheme="majorHAnsi"/>
          <w:sz w:val="22"/>
          <w:szCs w:val="22"/>
        </w:rPr>
        <w:t>%):</w:t>
      </w:r>
      <w:r w:rsidRPr="00883040">
        <w:rPr>
          <w:rFonts w:asciiTheme="majorHAnsi" w:hAnsiTheme="majorHAnsi" w:cstheme="majorHAnsi"/>
          <w:sz w:val="22"/>
          <w:szCs w:val="22"/>
        </w:rPr>
        <w:tab/>
      </w:r>
      <w:r w:rsidRPr="00883040">
        <w:rPr>
          <w:rFonts w:asciiTheme="majorHAnsi" w:hAnsiTheme="majorHAnsi" w:cstheme="majorHAnsi"/>
          <w:sz w:val="22"/>
          <w:szCs w:val="22"/>
        </w:rPr>
        <w:tab/>
      </w:r>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roofErr w:type="spellEnd"/>
    </w:p>
    <w:p w14:paraId="4B128274" w14:textId="77777777" w:rsidR="002E3F99" w:rsidRPr="00883040" w:rsidRDefault="002E3F99" w:rsidP="002E3F99">
      <w:pPr>
        <w:tabs>
          <w:tab w:val="num" w:pos="426"/>
        </w:tabs>
        <w:ind w:left="426"/>
        <w:jc w:val="both"/>
        <w:rPr>
          <w:rFonts w:asciiTheme="majorHAnsi" w:hAnsiTheme="majorHAnsi" w:cstheme="majorHAnsi"/>
          <w:b/>
          <w:sz w:val="22"/>
          <w:szCs w:val="22"/>
        </w:rPr>
      </w:pPr>
      <w:r w:rsidRPr="00883040">
        <w:rPr>
          <w:rFonts w:asciiTheme="majorHAnsi" w:hAnsiTheme="majorHAnsi" w:cstheme="majorHAnsi"/>
          <w:b/>
          <w:sz w:val="22"/>
          <w:szCs w:val="22"/>
        </w:rPr>
        <w:t xml:space="preserve">Cena </w:t>
      </w:r>
      <w:proofErr w:type="spellStart"/>
      <w:r w:rsidRPr="00883040">
        <w:rPr>
          <w:rFonts w:asciiTheme="majorHAnsi" w:hAnsiTheme="majorHAnsi" w:cstheme="majorHAnsi"/>
          <w:b/>
          <w:sz w:val="22"/>
          <w:szCs w:val="22"/>
        </w:rPr>
        <w:t>včetně</w:t>
      </w:r>
      <w:proofErr w:type="spellEnd"/>
      <w:r w:rsidRPr="00883040">
        <w:rPr>
          <w:rFonts w:asciiTheme="majorHAnsi" w:hAnsiTheme="majorHAnsi" w:cstheme="majorHAnsi"/>
          <w:b/>
          <w:sz w:val="22"/>
          <w:szCs w:val="22"/>
        </w:rPr>
        <w:t xml:space="preserve"> DPH:</w:t>
      </w:r>
      <w:r w:rsidRPr="00883040">
        <w:rPr>
          <w:rFonts w:asciiTheme="majorHAnsi" w:hAnsiTheme="majorHAnsi" w:cstheme="majorHAnsi"/>
          <w:b/>
          <w:sz w:val="22"/>
          <w:szCs w:val="22"/>
        </w:rPr>
        <w:tab/>
      </w:r>
      <w:proofErr w:type="gramStart"/>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roofErr w:type="gramEnd"/>
      <w:r w:rsidRPr="00883040">
        <w:rPr>
          <w:rFonts w:asciiTheme="majorHAnsi" w:hAnsiTheme="majorHAnsi" w:cstheme="majorHAnsi"/>
          <w:b/>
          <w:sz w:val="22"/>
          <w:szCs w:val="22"/>
        </w:rPr>
        <w:t xml:space="preserve"> </w:t>
      </w:r>
      <w:proofErr w:type="spellStart"/>
      <w:r w:rsidRPr="00883040">
        <w:rPr>
          <w:rFonts w:asciiTheme="majorHAnsi" w:hAnsiTheme="majorHAnsi" w:cstheme="majorHAnsi"/>
          <w:b/>
          <w:sz w:val="22"/>
          <w:szCs w:val="22"/>
        </w:rPr>
        <w:t>Kč</w:t>
      </w:r>
      <w:proofErr w:type="spellEnd"/>
    </w:p>
    <w:p w14:paraId="20237D67" w14:textId="77777777" w:rsidR="002E3F99" w:rsidRPr="00883040" w:rsidRDefault="002E3F99" w:rsidP="002E3F99">
      <w:pPr>
        <w:tabs>
          <w:tab w:val="num" w:pos="426"/>
        </w:tabs>
        <w:spacing w:after="120"/>
        <w:ind w:left="426"/>
        <w:jc w:val="both"/>
        <w:rPr>
          <w:rFonts w:asciiTheme="majorHAnsi" w:hAnsiTheme="majorHAnsi" w:cstheme="majorHAnsi"/>
          <w:b/>
          <w:sz w:val="22"/>
          <w:szCs w:val="22"/>
        </w:rPr>
      </w:pPr>
      <w:r w:rsidRPr="00883040">
        <w:rPr>
          <w:rFonts w:asciiTheme="majorHAnsi" w:hAnsiTheme="majorHAnsi" w:cstheme="majorHAnsi"/>
          <w:b/>
          <w:sz w:val="22"/>
          <w:szCs w:val="22"/>
        </w:rPr>
        <w:t>(</w:t>
      </w:r>
      <w:proofErr w:type="spellStart"/>
      <w:proofErr w:type="gramStart"/>
      <w:r w:rsidRPr="00883040">
        <w:rPr>
          <w:rFonts w:asciiTheme="majorHAnsi" w:hAnsiTheme="majorHAnsi" w:cstheme="majorHAnsi"/>
          <w:b/>
          <w:sz w:val="22"/>
          <w:szCs w:val="22"/>
        </w:rPr>
        <w:t>slovy</w:t>
      </w:r>
      <w:proofErr w:type="spellEnd"/>
      <w:proofErr w:type="gramEnd"/>
      <w:r w:rsidRPr="00883040">
        <w:rPr>
          <w:rFonts w:asciiTheme="majorHAnsi" w:hAnsiTheme="majorHAnsi" w:cstheme="majorHAnsi"/>
          <w:b/>
          <w:sz w:val="22"/>
          <w:szCs w:val="22"/>
        </w:rPr>
        <w:t xml:space="preserve">: </w:t>
      </w:r>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
    <w:p w14:paraId="0C8E9A0F" w14:textId="77777777" w:rsidR="002E3F99" w:rsidRPr="00751D14" w:rsidRDefault="002E3F99" w:rsidP="002E3F99">
      <w:pPr>
        <w:tabs>
          <w:tab w:val="num" w:pos="426"/>
        </w:tabs>
        <w:spacing w:after="120"/>
        <w:ind w:left="0"/>
        <w:jc w:val="both"/>
        <w:rPr>
          <w:rFonts w:asciiTheme="majorHAnsi" w:hAnsiTheme="majorHAnsi" w:cstheme="majorHAnsi"/>
          <w:b/>
        </w:rPr>
      </w:pPr>
    </w:p>
    <w:p w14:paraId="1CBC4602" w14:textId="77777777" w:rsidR="002E3F99" w:rsidRPr="002E3F99" w:rsidRDefault="002E3F99" w:rsidP="00B27B7F">
      <w:pPr>
        <w:pStyle w:val="Odstavecseseznamem"/>
        <w:numPr>
          <w:ilvl w:val="0"/>
          <w:numId w:val="40"/>
        </w:numPr>
        <w:tabs>
          <w:tab w:val="num" w:pos="426"/>
        </w:tabs>
        <w:spacing w:after="0" w:line="240" w:lineRule="atLeast"/>
        <w:ind w:left="782" w:hanging="359"/>
        <w:contextualSpacing w:val="0"/>
        <w:jc w:val="both"/>
        <w:rPr>
          <w:rFonts w:asciiTheme="majorHAnsi" w:hAnsiTheme="majorHAnsi" w:cstheme="majorHAnsi"/>
        </w:rPr>
      </w:pPr>
      <w:r w:rsidRPr="002E3F99">
        <w:rPr>
          <w:rFonts w:asciiTheme="majorHAnsi" w:hAnsiTheme="majorHAnsi" w:cstheme="majorHAnsi"/>
          <w:b/>
          <w:bCs/>
        </w:rPr>
        <w:t>Ultrazvukový přístroj pro ambulanci – mobilní – 1 ks</w:t>
      </w:r>
    </w:p>
    <w:p w14:paraId="555A0F47" w14:textId="7B08EF34" w:rsidR="00B27B7F" w:rsidRDefault="002E3F99" w:rsidP="00B27B7F">
      <w:pPr>
        <w:tabs>
          <w:tab w:val="num" w:pos="426"/>
        </w:tabs>
        <w:spacing w:line="240" w:lineRule="atLeast"/>
        <w:ind w:left="423"/>
        <w:jc w:val="both"/>
        <w:rPr>
          <w:rFonts w:asciiTheme="majorHAnsi" w:hAnsiTheme="majorHAnsi" w:cstheme="majorHAnsi"/>
          <w:b/>
        </w:rPr>
      </w:pPr>
      <w:proofErr w:type="spellStart"/>
      <w:r w:rsidRPr="002E3F99">
        <w:rPr>
          <w:rFonts w:asciiTheme="majorHAnsi" w:hAnsiTheme="majorHAnsi" w:cstheme="majorHAnsi"/>
          <w:b/>
        </w:rPr>
        <w:t>Zboží</w:t>
      </w:r>
      <w:proofErr w:type="spellEnd"/>
      <w:r w:rsidRPr="002E3F99">
        <w:rPr>
          <w:rFonts w:asciiTheme="majorHAnsi" w:hAnsiTheme="majorHAnsi" w:cstheme="majorHAnsi"/>
          <w:b/>
        </w:rPr>
        <w:t>:</w:t>
      </w:r>
      <w:r w:rsidRPr="002E3F99">
        <w:rPr>
          <w:rFonts w:asciiTheme="majorHAnsi" w:hAnsiTheme="majorHAnsi" w:cstheme="majorHAnsi"/>
        </w:rPr>
        <w:t xml:space="preserve"> </w:t>
      </w:r>
      <w:r w:rsidRPr="002E3F99">
        <w:rPr>
          <w:rFonts w:asciiTheme="majorHAnsi" w:hAnsiTheme="majorHAnsi" w:cstheme="majorHAnsi"/>
          <w:b/>
          <w:highlight w:val="yellow"/>
        </w:rPr>
        <w:t>……………</w:t>
      </w:r>
    </w:p>
    <w:p w14:paraId="2FC8563F" w14:textId="77777777" w:rsidR="00B27B7F" w:rsidRPr="00B27B7F" w:rsidRDefault="00B27B7F" w:rsidP="00B27B7F">
      <w:pPr>
        <w:tabs>
          <w:tab w:val="num" w:pos="426"/>
        </w:tabs>
        <w:spacing w:line="240" w:lineRule="atLeast"/>
        <w:ind w:left="423"/>
        <w:jc w:val="both"/>
        <w:rPr>
          <w:rFonts w:asciiTheme="majorHAnsi" w:hAnsiTheme="majorHAnsi" w:cstheme="majorHAnsi"/>
          <w:b/>
        </w:rPr>
      </w:pPr>
    </w:p>
    <w:p w14:paraId="6B571565" w14:textId="77777777" w:rsidR="002E3F99" w:rsidRPr="00883040" w:rsidRDefault="002E3F99" w:rsidP="00B27B7F">
      <w:pPr>
        <w:pStyle w:val="Odstavecseseznamem"/>
        <w:tabs>
          <w:tab w:val="num" w:pos="426"/>
        </w:tabs>
        <w:spacing w:after="0"/>
        <w:ind w:left="785" w:hanging="359"/>
        <w:jc w:val="both"/>
        <w:rPr>
          <w:rFonts w:asciiTheme="majorHAnsi" w:hAnsiTheme="majorHAnsi" w:cstheme="majorHAnsi"/>
        </w:rPr>
      </w:pPr>
      <w:r w:rsidRPr="00883040">
        <w:rPr>
          <w:rFonts w:asciiTheme="majorHAnsi" w:hAnsiTheme="majorHAnsi" w:cstheme="majorHAnsi"/>
        </w:rPr>
        <w:t>Cena celkem bez DPH:</w:t>
      </w:r>
      <w:r w:rsidRPr="00883040">
        <w:rPr>
          <w:rFonts w:asciiTheme="majorHAnsi" w:hAnsiTheme="majorHAnsi" w:cstheme="majorHAnsi"/>
        </w:rPr>
        <w:tab/>
      </w:r>
      <w:proofErr w:type="gramStart"/>
      <w:r w:rsidRPr="00883040">
        <w:rPr>
          <w:rFonts w:asciiTheme="majorHAnsi" w:hAnsiTheme="majorHAnsi" w:cstheme="majorHAnsi"/>
          <w:highlight w:val="yellow"/>
        </w:rPr>
        <w:t>........................</w:t>
      </w:r>
      <w:r w:rsidRPr="00883040">
        <w:rPr>
          <w:rFonts w:asciiTheme="majorHAnsi" w:hAnsiTheme="majorHAnsi" w:cstheme="majorHAnsi"/>
        </w:rPr>
        <w:t>,-</w:t>
      </w:r>
      <w:proofErr w:type="gramEnd"/>
      <w:r w:rsidRPr="00883040">
        <w:rPr>
          <w:rFonts w:asciiTheme="majorHAnsi" w:hAnsiTheme="majorHAnsi" w:cstheme="majorHAnsi"/>
        </w:rPr>
        <w:t xml:space="preserve"> Kč</w:t>
      </w:r>
    </w:p>
    <w:p w14:paraId="06DCA866" w14:textId="77777777" w:rsidR="002E3F99" w:rsidRPr="00883040" w:rsidRDefault="002E3F99" w:rsidP="002E3F99">
      <w:pPr>
        <w:pStyle w:val="Odstavecseseznamem"/>
        <w:tabs>
          <w:tab w:val="num" w:pos="426"/>
        </w:tabs>
        <w:ind w:left="785" w:hanging="359"/>
        <w:jc w:val="both"/>
        <w:rPr>
          <w:rFonts w:asciiTheme="majorHAnsi" w:hAnsiTheme="majorHAnsi" w:cstheme="majorHAnsi"/>
        </w:rPr>
      </w:pPr>
      <w:r w:rsidRPr="00883040">
        <w:rPr>
          <w:rFonts w:asciiTheme="majorHAnsi" w:hAnsiTheme="majorHAnsi" w:cstheme="majorHAnsi"/>
        </w:rPr>
        <w:t xml:space="preserve">DPH </w:t>
      </w:r>
      <w:proofErr w:type="gramStart"/>
      <w:r w:rsidRPr="00883040">
        <w:rPr>
          <w:rFonts w:asciiTheme="majorHAnsi" w:hAnsiTheme="majorHAnsi" w:cstheme="majorHAnsi"/>
        </w:rPr>
        <w:t>(</w:t>
      </w:r>
      <w:r w:rsidRPr="00883040">
        <w:rPr>
          <w:rFonts w:asciiTheme="majorHAnsi" w:hAnsiTheme="majorHAnsi" w:cstheme="majorHAnsi"/>
          <w:highlight w:val="yellow"/>
        </w:rPr>
        <w:t>….</w:t>
      </w:r>
      <w:proofErr w:type="gramEnd"/>
      <w:r w:rsidRPr="00883040">
        <w:rPr>
          <w:rFonts w:asciiTheme="majorHAnsi" w:hAnsiTheme="majorHAnsi" w:cstheme="majorHAnsi"/>
          <w:highlight w:val="yellow"/>
        </w:rPr>
        <w:t>.</w:t>
      </w:r>
      <w:r w:rsidRPr="00883040">
        <w:rPr>
          <w:rFonts w:asciiTheme="majorHAnsi" w:hAnsiTheme="majorHAnsi" w:cstheme="majorHAnsi"/>
        </w:rPr>
        <w:t>%):</w:t>
      </w:r>
      <w:r w:rsidRPr="00883040">
        <w:rPr>
          <w:rFonts w:asciiTheme="majorHAnsi" w:hAnsiTheme="majorHAnsi" w:cstheme="majorHAnsi"/>
        </w:rPr>
        <w:tab/>
      </w:r>
      <w:r w:rsidRPr="00883040">
        <w:rPr>
          <w:rFonts w:asciiTheme="majorHAnsi" w:hAnsiTheme="majorHAnsi" w:cstheme="majorHAnsi"/>
        </w:rPr>
        <w:tab/>
      </w:r>
      <w:proofErr w:type="gramStart"/>
      <w:r w:rsidRPr="00883040">
        <w:rPr>
          <w:rFonts w:asciiTheme="majorHAnsi" w:hAnsiTheme="majorHAnsi" w:cstheme="majorHAnsi"/>
          <w:highlight w:val="yellow"/>
        </w:rPr>
        <w:t>........................</w:t>
      </w:r>
      <w:r w:rsidRPr="00883040">
        <w:rPr>
          <w:rFonts w:asciiTheme="majorHAnsi" w:hAnsiTheme="majorHAnsi" w:cstheme="majorHAnsi"/>
        </w:rPr>
        <w:t>,-</w:t>
      </w:r>
      <w:proofErr w:type="gramEnd"/>
      <w:r w:rsidRPr="00883040">
        <w:rPr>
          <w:rFonts w:asciiTheme="majorHAnsi" w:hAnsiTheme="majorHAnsi" w:cstheme="majorHAnsi"/>
        </w:rPr>
        <w:t xml:space="preserve"> Kč</w:t>
      </w:r>
    </w:p>
    <w:p w14:paraId="5A350953" w14:textId="77777777" w:rsidR="002E3F99" w:rsidRPr="00883040" w:rsidRDefault="002E3F99" w:rsidP="002E3F99">
      <w:pPr>
        <w:pStyle w:val="Odstavecseseznamem"/>
        <w:tabs>
          <w:tab w:val="num" w:pos="426"/>
        </w:tabs>
        <w:ind w:left="785" w:hanging="359"/>
        <w:jc w:val="both"/>
        <w:rPr>
          <w:rFonts w:asciiTheme="majorHAnsi" w:hAnsiTheme="majorHAnsi" w:cstheme="majorHAnsi"/>
          <w:b/>
        </w:rPr>
      </w:pPr>
      <w:r w:rsidRPr="00883040">
        <w:rPr>
          <w:rFonts w:asciiTheme="majorHAnsi" w:hAnsiTheme="majorHAnsi" w:cstheme="majorHAnsi"/>
          <w:b/>
        </w:rPr>
        <w:t>Cena včetně DPH:</w:t>
      </w:r>
      <w:r w:rsidRPr="00883040">
        <w:rPr>
          <w:rFonts w:asciiTheme="majorHAnsi" w:hAnsiTheme="majorHAnsi" w:cstheme="majorHAnsi"/>
          <w:b/>
        </w:rPr>
        <w:tab/>
      </w:r>
      <w:proofErr w:type="gramStart"/>
      <w:r w:rsidRPr="00883040">
        <w:rPr>
          <w:rFonts w:asciiTheme="majorHAnsi" w:hAnsiTheme="majorHAnsi" w:cstheme="majorHAnsi"/>
          <w:b/>
          <w:highlight w:val="yellow"/>
        </w:rPr>
        <w:t>........................</w:t>
      </w:r>
      <w:r w:rsidRPr="00883040">
        <w:rPr>
          <w:rFonts w:asciiTheme="majorHAnsi" w:hAnsiTheme="majorHAnsi" w:cstheme="majorHAnsi"/>
          <w:b/>
        </w:rPr>
        <w:t>,-</w:t>
      </w:r>
      <w:proofErr w:type="gramEnd"/>
      <w:r w:rsidRPr="00883040">
        <w:rPr>
          <w:rFonts w:asciiTheme="majorHAnsi" w:hAnsiTheme="majorHAnsi" w:cstheme="majorHAnsi"/>
          <w:b/>
        </w:rPr>
        <w:t xml:space="preserve"> Kč</w:t>
      </w:r>
    </w:p>
    <w:p w14:paraId="3FB39ECD" w14:textId="77777777" w:rsidR="002E3F99" w:rsidRPr="00883040" w:rsidRDefault="002E3F99" w:rsidP="002E3F99">
      <w:pPr>
        <w:pStyle w:val="Odstavecseseznamem"/>
        <w:tabs>
          <w:tab w:val="num" w:pos="426"/>
        </w:tabs>
        <w:spacing w:after="120"/>
        <w:ind w:left="785" w:hanging="359"/>
        <w:jc w:val="both"/>
        <w:rPr>
          <w:rFonts w:asciiTheme="majorHAnsi" w:hAnsiTheme="majorHAnsi" w:cstheme="majorHAnsi"/>
          <w:b/>
        </w:rPr>
      </w:pPr>
      <w:r w:rsidRPr="00883040">
        <w:rPr>
          <w:rFonts w:asciiTheme="majorHAnsi" w:hAnsiTheme="majorHAnsi" w:cstheme="majorHAnsi"/>
          <w:b/>
        </w:rPr>
        <w:t xml:space="preserve">(slovy: </w:t>
      </w:r>
      <w:r w:rsidRPr="00883040">
        <w:rPr>
          <w:rFonts w:asciiTheme="majorHAnsi" w:hAnsiTheme="majorHAnsi" w:cstheme="majorHAnsi"/>
          <w:b/>
          <w:highlight w:val="yellow"/>
        </w:rPr>
        <w:t>...........................................................</w:t>
      </w:r>
      <w:r w:rsidRPr="00883040">
        <w:rPr>
          <w:rFonts w:asciiTheme="majorHAnsi" w:hAnsiTheme="majorHAnsi" w:cstheme="majorHAnsi"/>
          <w:b/>
        </w:rPr>
        <w:t>)</w:t>
      </w:r>
    </w:p>
    <w:p w14:paraId="68DFFCA8" w14:textId="77777777" w:rsidR="002E3F99" w:rsidRPr="00883040" w:rsidRDefault="002E3F99" w:rsidP="002E3F99">
      <w:pPr>
        <w:pStyle w:val="Odstavecseseznamem"/>
        <w:tabs>
          <w:tab w:val="num" w:pos="426"/>
        </w:tabs>
        <w:spacing w:after="120"/>
        <w:ind w:left="785" w:hanging="359"/>
        <w:jc w:val="both"/>
        <w:rPr>
          <w:rFonts w:asciiTheme="majorHAnsi" w:hAnsiTheme="majorHAnsi" w:cstheme="majorHAnsi"/>
          <w:b/>
        </w:rPr>
      </w:pPr>
    </w:p>
    <w:p w14:paraId="73EC9F3B" w14:textId="564A254A" w:rsidR="002E3F99" w:rsidRPr="00883040" w:rsidRDefault="002E3F99" w:rsidP="002E3F99">
      <w:pPr>
        <w:pBdr>
          <w:top w:val="single" w:sz="4" w:space="1" w:color="auto"/>
          <w:left w:val="single" w:sz="4" w:space="4" w:color="auto"/>
          <w:bottom w:val="single" w:sz="4" w:space="1" w:color="auto"/>
          <w:right w:val="single" w:sz="4" w:space="4" w:color="auto"/>
        </w:pBdr>
        <w:tabs>
          <w:tab w:val="num" w:pos="426"/>
        </w:tabs>
        <w:spacing w:before="120"/>
        <w:ind w:left="425"/>
        <w:jc w:val="both"/>
        <w:rPr>
          <w:rFonts w:asciiTheme="majorHAnsi" w:hAnsiTheme="majorHAnsi" w:cstheme="majorHAnsi"/>
          <w:sz w:val="22"/>
          <w:szCs w:val="22"/>
        </w:rPr>
      </w:pPr>
      <w:r w:rsidRPr="00883040">
        <w:rPr>
          <w:rFonts w:asciiTheme="majorHAnsi" w:hAnsiTheme="majorHAnsi" w:cstheme="majorHAnsi"/>
          <w:b/>
          <w:sz w:val="22"/>
          <w:szCs w:val="22"/>
        </w:rPr>
        <w:t xml:space="preserve">Cena </w:t>
      </w:r>
      <w:proofErr w:type="spellStart"/>
      <w:r w:rsidRPr="00883040">
        <w:rPr>
          <w:rFonts w:asciiTheme="majorHAnsi" w:hAnsiTheme="majorHAnsi" w:cstheme="majorHAnsi"/>
          <w:b/>
          <w:bCs/>
          <w:sz w:val="22"/>
          <w:szCs w:val="22"/>
        </w:rPr>
        <w:t>celkem</w:t>
      </w:r>
      <w:proofErr w:type="spellEnd"/>
      <w:r w:rsidRPr="00883040">
        <w:rPr>
          <w:rFonts w:asciiTheme="majorHAnsi" w:hAnsiTheme="majorHAnsi" w:cstheme="majorHAnsi"/>
          <w:b/>
          <w:bCs/>
          <w:sz w:val="22"/>
          <w:szCs w:val="22"/>
        </w:rPr>
        <w:t xml:space="preserve"> bez DPH za </w:t>
      </w:r>
      <w:proofErr w:type="spellStart"/>
      <w:r w:rsidRPr="00883040">
        <w:rPr>
          <w:rFonts w:asciiTheme="majorHAnsi" w:hAnsiTheme="majorHAnsi" w:cstheme="majorHAnsi"/>
          <w:b/>
          <w:bCs/>
          <w:sz w:val="22"/>
          <w:szCs w:val="22"/>
        </w:rPr>
        <w:t>položky</w:t>
      </w:r>
      <w:proofErr w:type="spellEnd"/>
      <w:r w:rsidRPr="00883040">
        <w:rPr>
          <w:rFonts w:asciiTheme="majorHAnsi" w:hAnsiTheme="majorHAnsi" w:cstheme="majorHAnsi"/>
          <w:b/>
          <w:bCs/>
          <w:sz w:val="22"/>
          <w:szCs w:val="22"/>
        </w:rPr>
        <w:t xml:space="preserve"> </w:t>
      </w:r>
      <w:proofErr w:type="spellStart"/>
      <w:r w:rsidRPr="00883040">
        <w:rPr>
          <w:rFonts w:asciiTheme="majorHAnsi" w:hAnsiTheme="majorHAnsi" w:cstheme="majorHAnsi"/>
          <w:b/>
          <w:bCs/>
          <w:sz w:val="22"/>
          <w:szCs w:val="22"/>
        </w:rPr>
        <w:t>zboží</w:t>
      </w:r>
      <w:proofErr w:type="spellEnd"/>
      <w:r w:rsidRPr="00883040">
        <w:rPr>
          <w:rFonts w:asciiTheme="majorHAnsi" w:hAnsiTheme="majorHAnsi" w:cstheme="majorHAnsi"/>
          <w:b/>
          <w:bCs/>
          <w:sz w:val="22"/>
          <w:szCs w:val="22"/>
        </w:rPr>
        <w:t xml:space="preserve"> 1</w:t>
      </w:r>
      <w:r w:rsidR="00A37848">
        <w:rPr>
          <w:rFonts w:asciiTheme="majorHAnsi" w:hAnsiTheme="majorHAnsi" w:cstheme="majorHAnsi"/>
          <w:b/>
          <w:bCs/>
          <w:sz w:val="22"/>
          <w:szCs w:val="22"/>
        </w:rPr>
        <w:t>.</w:t>
      </w:r>
      <w:r w:rsidRPr="00883040">
        <w:rPr>
          <w:rFonts w:asciiTheme="majorHAnsi" w:hAnsiTheme="majorHAnsi" w:cstheme="majorHAnsi"/>
          <w:b/>
          <w:bCs/>
          <w:sz w:val="22"/>
          <w:szCs w:val="22"/>
        </w:rPr>
        <w:t xml:space="preserve"> </w:t>
      </w:r>
      <w:r>
        <w:rPr>
          <w:rFonts w:asciiTheme="majorHAnsi" w:hAnsiTheme="majorHAnsi" w:cstheme="majorHAnsi"/>
          <w:b/>
          <w:bCs/>
          <w:sz w:val="22"/>
          <w:szCs w:val="22"/>
        </w:rPr>
        <w:t>a 2</w:t>
      </w:r>
      <w:r w:rsidR="00A37848">
        <w:rPr>
          <w:rFonts w:asciiTheme="majorHAnsi" w:hAnsiTheme="majorHAnsi" w:cstheme="majorHAnsi"/>
          <w:b/>
          <w:bCs/>
          <w:sz w:val="22"/>
          <w:szCs w:val="22"/>
        </w:rPr>
        <w:t>.</w:t>
      </w:r>
      <w:r w:rsidRPr="00883040">
        <w:rPr>
          <w:rFonts w:asciiTheme="majorHAnsi" w:hAnsiTheme="majorHAnsi" w:cstheme="majorHAnsi"/>
          <w:b/>
          <w:bCs/>
          <w:sz w:val="22"/>
          <w:szCs w:val="22"/>
        </w:rPr>
        <w:t>:</w:t>
      </w:r>
      <w:r w:rsidRPr="00883040">
        <w:rPr>
          <w:rFonts w:asciiTheme="majorHAnsi" w:hAnsiTheme="majorHAnsi" w:cstheme="majorHAnsi"/>
          <w:sz w:val="22"/>
          <w:szCs w:val="22"/>
        </w:rPr>
        <w:tab/>
      </w:r>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roofErr w:type="spellEnd"/>
    </w:p>
    <w:p w14:paraId="57A59158" w14:textId="77777777" w:rsidR="002E3F99" w:rsidRPr="00883040" w:rsidRDefault="002E3F99" w:rsidP="002E3F99">
      <w:pPr>
        <w:pBdr>
          <w:top w:val="single" w:sz="4" w:space="1" w:color="auto"/>
          <w:left w:val="single" w:sz="4" w:space="4" w:color="auto"/>
          <w:bottom w:val="single" w:sz="4" w:space="1" w:color="auto"/>
          <w:right w:val="single" w:sz="4" w:space="4" w:color="auto"/>
        </w:pBdr>
        <w:tabs>
          <w:tab w:val="num" w:pos="426"/>
        </w:tabs>
        <w:ind w:left="426"/>
        <w:jc w:val="both"/>
        <w:rPr>
          <w:rFonts w:asciiTheme="majorHAnsi" w:hAnsiTheme="majorHAnsi" w:cstheme="majorHAnsi"/>
          <w:sz w:val="22"/>
          <w:szCs w:val="22"/>
        </w:rPr>
      </w:pPr>
      <w:r w:rsidRPr="00883040">
        <w:rPr>
          <w:rFonts w:asciiTheme="majorHAnsi" w:hAnsiTheme="majorHAnsi" w:cstheme="majorHAnsi"/>
          <w:sz w:val="22"/>
          <w:szCs w:val="22"/>
        </w:rPr>
        <w:t>DPH (</w:t>
      </w:r>
      <w:proofErr w:type="gramStart"/>
      <w:r w:rsidRPr="00883040">
        <w:rPr>
          <w:rFonts w:asciiTheme="majorHAnsi" w:hAnsiTheme="majorHAnsi" w:cstheme="majorHAnsi"/>
          <w:sz w:val="22"/>
          <w:szCs w:val="22"/>
          <w:highlight w:val="yellow"/>
        </w:rPr>
        <w:t>…..</w:t>
      </w:r>
      <w:proofErr w:type="gramEnd"/>
      <w:r w:rsidRPr="00883040">
        <w:rPr>
          <w:rFonts w:asciiTheme="majorHAnsi" w:hAnsiTheme="majorHAnsi" w:cstheme="majorHAnsi"/>
          <w:sz w:val="22"/>
          <w:szCs w:val="22"/>
        </w:rPr>
        <w:t>%):</w:t>
      </w:r>
      <w:r w:rsidRPr="00883040">
        <w:rPr>
          <w:rFonts w:asciiTheme="majorHAnsi" w:hAnsiTheme="majorHAnsi" w:cstheme="majorHAnsi"/>
          <w:sz w:val="22"/>
          <w:szCs w:val="22"/>
        </w:rPr>
        <w:tab/>
      </w:r>
      <w:r w:rsidRPr="00883040">
        <w:rPr>
          <w:rFonts w:asciiTheme="majorHAnsi" w:hAnsiTheme="majorHAnsi" w:cstheme="majorHAnsi"/>
          <w:sz w:val="22"/>
          <w:szCs w:val="22"/>
        </w:rPr>
        <w:tab/>
      </w:r>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roofErr w:type="spellEnd"/>
    </w:p>
    <w:p w14:paraId="05C5C100" w14:textId="77777777" w:rsidR="002E3F99" w:rsidRPr="00883040" w:rsidRDefault="002E3F99" w:rsidP="002E3F99">
      <w:pPr>
        <w:pBdr>
          <w:top w:val="single" w:sz="4" w:space="1" w:color="auto"/>
          <w:left w:val="single" w:sz="4" w:space="4" w:color="auto"/>
          <w:bottom w:val="single" w:sz="4" w:space="1" w:color="auto"/>
          <w:right w:val="single" w:sz="4" w:space="4" w:color="auto"/>
        </w:pBdr>
        <w:tabs>
          <w:tab w:val="num" w:pos="426"/>
        </w:tabs>
        <w:ind w:left="426"/>
        <w:jc w:val="both"/>
        <w:rPr>
          <w:rFonts w:asciiTheme="majorHAnsi" w:hAnsiTheme="majorHAnsi" w:cstheme="majorHAnsi"/>
          <w:b/>
          <w:sz w:val="22"/>
          <w:szCs w:val="22"/>
        </w:rPr>
      </w:pPr>
      <w:r w:rsidRPr="00883040">
        <w:rPr>
          <w:rFonts w:asciiTheme="majorHAnsi" w:hAnsiTheme="majorHAnsi" w:cstheme="majorHAnsi"/>
          <w:b/>
          <w:sz w:val="22"/>
          <w:szCs w:val="22"/>
        </w:rPr>
        <w:t xml:space="preserve">Cena </w:t>
      </w:r>
      <w:proofErr w:type="spellStart"/>
      <w:r w:rsidRPr="00883040">
        <w:rPr>
          <w:rFonts w:asciiTheme="majorHAnsi" w:hAnsiTheme="majorHAnsi" w:cstheme="majorHAnsi"/>
          <w:b/>
          <w:sz w:val="22"/>
          <w:szCs w:val="22"/>
        </w:rPr>
        <w:t>včetně</w:t>
      </w:r>
      <w:proofErr w:type="spellEnd"/>
      <w:r w:rsidRPr="00883040">
        <w:rPr>
          <w:rFonts w:asciiTheme="majorHAnsi" w:hAnsiTheme="majorHAnsi" w:cstheme="majorHAnsi"/>
          <w:b/>
          <w:sz w:val="22"/>
          <w:szCs w:val="22"/>
        </w:rPr>
        <w:t xml:space="preserve"> DPH:</w:t>
      </w:r>
      <w:r w:rsidRPr="00883040">
        <w:rPr>
          <w:rFonts w:asciiTheme="majorHAnsi" w:hAnsiTheme="majorHAnsi" w:cstheme="majorHAnsi"/>
          <w:b/>
          <w:sz w:val="22"/>
          <w:szCs w:val="22"/>
        </w:rPr>
        <w:tab/>
      </w:r>
      <w:proofErr w:type="gramStart"/>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roofErr w:type="gramEnd"/>
      <w:r w:rsidRPr="00883040">
        <w:rPr>
          <w:rFonts w:asciiTheme="majorHAnsi" w:hAnsiTheme="majorHAnsi" w:cstheme="majorHAnsi"/>
          <w:b/>
          <w:sz w:val="22"/>
          <w:szCs w:val="22"/>
        </w:rPr>
        <w:t xml:space="preserve"> </w:t>
      </w:r>
      <w:proofErr w:type="spellStart"/>
      <w:r w:rsidRPr="00883040">
        <w:rPr>
          <w:rFonts w:asciiTheme="majorHAnsi" w:hAnsiTheme="majorHAnsi" w:cstheme="majorHAnsi"/>
          <w:b/>
          <w:sz w:val="22"/>
          <w:szCs w:val="22"/>
        </w:rPr>
        <w:t>Kč</w:t>
      </w:r>
      <w:proofErr w:type="spellEnd"/>
    </w:p>
    <w:p w14:paraId="0E89E349" w14:textId="77777777" w:rsidR="002E3F99" w:rsidRPr="00883040" w:rsidRDefault="002E3F99" w:rsidP="002E3F99">
      <w:pPr>
        <w:pStyle w:val="Odstavecseseznamem"/>
        <w:tabs>
          <w:tab w:val="num" w:pos="426"/>
        </w:tabs>
        <w:spacing w:after="120"/>
        <w:ind w:left="785" w:hanging="359"/>
        <w:jc w:val="both"/>
        <w:rPr>
          <w:rFonts w:asciiTheme="majorHAnsi" w:hAnsiTheme="majorHAnsi" w:cstheme="majorHAnsi"/>
          <w:b/>
        </w:rPr>
      </w:pPr>
      <w:r w:rsidRPr="00883040">
        <w:rPr>
          <w:rFonts w:asciiTheme="majorHAnsi" w:hAnsiTheme="majorHAnsi" w:cstheme="majorHAnsi"/>
          <w:b/>
        </w:rPr>
        <w:t xml:space="preserve">(slovy: </w:t>
      </w:r>
      <w:r w:rsidRPr="00883040">
        <w:rPr>
          <w:rFonts w:asciiTheme="majorHAnsi" w:hAnsiTheme="majorHAnsi" w:cstheme="majorHAnsi"/>
          <w:b/>
          <w:highlight w:val="yellow"/>
        </w:rPr>
        <w:t>...........................................................</w:t>
      </w:r>
      <w:r w:rsidRPr="00883040">
        <w:rPr>
          <w:rFonts w:asciiTheme="majorHAnsi" w:hAnsiTheme="majorHAnsi" w:cstheme="majorHAnsi"/>
          <w:b/>
        </w:rPr>
        <w:t>)</w:t>
      </w:r>
    </w:p>
    <w:p w14:paraId="2FE4E8D6" w14:textId="77777777" w:rsidR="002E3F99" w:rsidRPr="00883040" w:rsidRDefault="002E3F99"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lastRenderedPageBreak/>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66CFDA50"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804F2A">
        <w:rPr>
          <w:rFonts w:asciiTheme="majorHAnsi" w:eastAsia="Times New Roman" w:hAnsiTheme="majorHAnsi" w:cstheme="majorHAnsi"/>
          <w:b/>
          <w:u w:val="single"/>
          <w:lang w:eastAsia="cs-CZ"/>
        </w:rPr>
        <w:t>do</w:t>
      </w:r>
      <w:r w:rsidR="00804F2A" w:rsidRPr="00804F2A">
        <w:rPr>
          <w:rFonts w:asciiTheme="majorHAnsi" w:eastAsia="Times New Roman" w:hAnsiTheme="majorHAnsi" w:cstheme="majorHAnsi"/>
          <w:b/>
          <w:u w:val="single"/>
          <w:lang w:eastAsia="cs-CZ"/>
        </w:rPr>
        <w:t xml:space="preserve"> 4 týdnů</w:t>
      </w:r>
      <w:r w:rsidR="00950815" w:rsidRPr="00804F2A">
        <w:rPr>
          <w:rFonts w:asciiTheme="majorHAnsi" w:eastAsia="Times New Roman" w:hAnsiTheme="majorHAnsi" w:cstheme="majorHAnsi"/>
          <w:b/>
          <w:lang w:eastAsia="cs-CZ"/>
        </w:rPr>
        <w:t xml:space="preserve"> od</w:t>
      </w:r>
      <w:r w:rsidR="00B03E0D" w:rsidRPr="00804F2A">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200E4FF2"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w:t>
      </w:r>
      <w:r w:rsidR="00FD4D3E">
        <w:rPr>
          <w:rFonts w:asciiTheme="majorHAnsi" w:eastAsia="Times New Roman" w:hAnsiTheme="majorHAnsi" w:cstheme="majorHAnsi"/>
          <w:lang w:eastAsia="cs-CZ"/>
        </w:rPr>
        <w:t>ortopedická ambulance</w:t>
      </w:r>
      <w:r w:rsidR="001810A3">
        <w:rPr>
          <w:rFonts w:asciiTheme="majorHAnsi" w:eastAsia="Times New Roman" w:hAnsiTheme="majorHAnsi" w:cstheme="majorHAnsi"/>
          <w:lang w:eastAsia="cs-CZ"/>
        </w:rPr>
        <w:t>,</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042C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042C40">
        <w:rPr>
          <w:rFonts w:asciiTheme="majorHAnsi" w:hAnsiTheme="majorHAnsi" w:cstheme="majorHAnsi"/>
          <w:sz w:val="22"/>
          <w:szCs w:val="22"/>
          <w:lang w:val="cs-CZ"/>
        </w:rPr>
        <w:t>Prodávající</w:t>
      </w:r>
      <w:r w:rsidR="006549D0" w:rsidRPr="00042C40">
        <w:rPr>
          <w:rFonts w:asciiTheme="majorHAnsi" w:hAnsiTheme="majorHAnsi" w:cstheme="majorHAnsi"/>
          <w:sz w:val="22"/>
          <w:szCs w:val="22"/>
          <w:lang w:val="cs-CZ"/>
        </w:rPr>
        <w:t xml:space="preserve"> </w:t>
      </w:r>
      <w:r w:rsidR="00317AAB" w:rsidRPr="00042C40">
        <w:rPr>
          <w:rFonts w:asciiTheme="majorHAnsi" w:hAnsiTheme="majorHAnsi" w:cstheme="majorHAnsi"/>
          <w:sz w:val="22"/>
          <w:szCs w:val="22"/>
          <w:lang w:val="cs-CZ"/>
        </w:rPr>
        <w:t>se zavazuje zajišťovat bezplatný záruční servis k Předmětu plnění dle této smlouvy</w:t>
      </w:r>
      <w:r w:rsidR="003431A5" w:rsidRPr="00042C40">
        <w:rPr>
          <w:rFonts w:asciiTheme="majorHAnsi" w:hAnsiTheme="majorHAnsi" w:cstheme="majorHAnsi"/>
          <w:sz w:val="22"/>
          <w:szCs w:val="22"/>
          <w:lang w:val="cs-CZ"/>
        </w:rPr>
        <w:t xml:space="preserve"> </w:t>
      </w:r>
      <w:r w:rsidR="00317AAB" w:rsidRPr="00042C40">
        <w:rPr>
          <w:rFonts w:asciiTheme="majorHAnsi" w:hAnsiTheme="majorHAnsi" w:cstheme="majorHAnsi"/>
          <w:sz w:val="22"/>
          <w:szCs w:val="22"/>
          <w:lang w:val="cs-CZ"/>
        </w:rPr>
        <w:t>a garantuje dostupnost placeného</w:t>
      </w:r>
      <w:r w:rsidR="006B2BAA" w:rsidRPr="00042C40">
        <w:rPr>
          <w:rFonts w:asciiTheme="majorHAnsi" w:hAnsiTheme="majorHAnsi" w:cstheme="majorHAnsi"/>
          <w:sz w:val="22"/>
          <w:szCs w:val="22"/>
          <w:lang w:val="cs-CZ"/>
        </w:rPr>
        <w:t xml:space="preserve"> </w:t>
      </w:r>
      <w:r w:rsidR="00317AAB" w:rsidRPr="00042C40">
        <w:rPr>
          <w:rFonts w:asciiTheme="majorHAnsi" w:hAnsiTheme="majorHAnsi" w:cstheme="majorHAnsi"/>
          <w:sz w:val="22"/>
          <w:szCs w:val="22"/>
          <w:lang w:val="cs-CZ"/>
        </w:rPr>
        <w:t xml:space="preserve">pozáručního servisu a </w:t>
      </w:r>
      <w:r w:rsidR="009B12C0" w:rsidRPr="00042C40">
        <w:rPr>
          <w:rFonts w:asciiTheme="majorHAnsi" w:hAnsiTheme="majorHAnsi" w:cstheme="majorHAnsi"/>
          <w:sz w:val="22"/>
          <w:szCs w:val="22"/>
          <w:lang w:val="cs-CZ"/>
        </w:rPr>
        <w:t>náhradních dílů k Předmětu plnění</w:t>
      </w:r>
      <w:r w:rsidR="009E3521" w:rsidRPr="00042C40">
        <w:rPr>
          <w:rFonts w:asciiTheme="majorHAnsi" w:hAnsiTheme="majorHAnsi" w:cstheme="majorHAnsi"/>
          <w:sz w:val="22"/>
          <w:szCs w:val="22"/>
          <w:lang w:val="cs-CZ"/>
        </w:rPr>
        <w:t>, a to od konce záruční doby do konce životnosti zboží.</w:t>
      </w:r>
      <w:r w:rsidR="000D79BC" w:rsidRPr="00042C40">
        <w:rPr>
          <w:rFonts w:asciiTheme="majorHAnsi" w:hAnsiTheme="majorHAnsi" w:cstheme="majorHAnsi"/>
          <w:sz w:val="22"/>
          <w:szCs w:val="22"/>
          <w:lang w:val="cs-CZ"/>
        </w:rPr>
        <w:t xml:space="preserve"> Životnost zboží je stanovena do: ……………………………</w:t>
      </w:r>
      <w:r w:rsidR="009E3521" w:rsidRPr="00042C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0D79BC"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w:t>
      </w:r>
      <w:r w:rsidR="000C7557" w:rsidRPr="00883040">
        <w:rPr>
          <w:rFonts w:asciiTheme="majorHAnsi" w:hAnsiTheme="majorHAnsi" w:cstheme="majorHAnsi"/>
          <w:sz w:val="22"/>
          <w:szCs w:val="22"/>
          <w:lang w:val="cs-CZ"/>
        </w:rPr>
        <w:lastRenderedPageBreak/>
        <w:t>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4E3B843E" w14:textId="77777777" w:rsidR="000D79BC" w:rsidRPr="000D79BC" w:rsidRDefault="000D79BC" w:rsidP="000D79BC">
      <w:pPr>
        <w:ind w:left="0"/>
        <w:rPr>
          <w:rFonts w:asciiTheme="majorHAnsi" w:eastAsia="Times New Roman" w:hAnsiTheme="majorHAnsi" w:cstheme="majorHAnsi"/>
          <w:lang w:eastAsia="cs-CZ"/>
        </w:rPr>
      </w:pPr>
    </w:p>
    <w:p w14:paraId="6030E12E" w14:textId="0ED5221D" w:rsidR="000D79BC" w:rsidRPr="00042C40"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11" w:name="_Hlk199922537"/>
      <w:r w:rsidRPr="00042C40">
        <w:rPr>
          <w:rFonts w:asciiTheme="majorHAnsi" w:hAnsiTheme="majorHAnsi" w:cstheme="majorHAnsi"/>
          <w:sz w:val="22"/>
          <w:szCs w:val="22"/>
          <w:lang w:val="cs-CZ"/>
        </w:rPr>
        <w:t xml:space="preserve">Bezplatný servis poskytnutý Prodávajícím Kupujícímu v záruční době na celou dodávku Předmětu plnění, </w:t>
      </w:r>
      <w:r w:rsidRPr="00042C40">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11"/>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C36895D"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Pr>
          <w:rFonts w:asciiTheme="majorHAnsi" w:eastAsia="Times New Roman" w:hAnsiTheme="majorHAnsi" w:cstheme="majorHAnsi"/>
          <w:sz w:val="22"/>
          <w:szCs w:val="22"/>
          <w:lang w:val="cs-CZ" w:eastAsia="cs-CZ"/>
        </w:rPr>
        <w:t xml:space="preserve">(dále jen „BTK“) </w:t>
      </w:r>
      <w:r w:rsidRPr="00883040">
        <w:rPr>
          <w:rFonts w:asciiTheme="majorHAnsi" w:eastAsia="Times New Roman" w:hAnsiTheme="majorHAnsi" w:cstheme="majorHAnsi"/>
          <w:sz w:val="22"/>
          <w:szCs w:val="22"/>
          <w:lang w:val="cs-CZ" w:eastAsia="cs-CZ"/>
        </w:rPr>
        <w:t xml:space="preserve">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9E3521">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2E900A6F"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 xml:space="preserve">mezi 8.00 – 16.00 hodinou a je požadováno e-mailové potvrzení přijetí požadavku. </w:t>
      </w:r>
      <w:r w:rsidR="009E3521">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883040">
        <w:rPr>
          <w:rFonts w:asciiTheme="majorHAnsi" w:hAnsiTheme="majorHAnsi" w:cstheme="majorHAnsi"/>
          <w:sz w:val="22"/>
          <w:szCs w:val="22"/>
          <w:lang w:val="cs-CZ"/>
        </w:rPr>
        <w:t xml:space="preserve">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lastRenderedPageBreak/>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w:t>
      </w:r>
      <w:r w:rsidR="004D3611">
        <w:rPr>
          <w:rFonts w:asciiTheme="majorHAnsi" w:hAnsiTheme="majorHAnsi" w:cstheme="majorHAnsi"/>
          <w:sz w:val="22"/>
          <w:szCs w:val="22"/>
          <w:lang w:val="cs-CZ"/>
        </w:rPr>
        <w:t xml:space="preserve"> i pozáruční</w:t>
      </w:r>
      <w:r w:rsidRPr="00883040">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Pr>
          <w:rFonts w:asciiTheme="majorHAnsi" w:hAnsiTheme="majorHAnsi" w:cstheme="majorHAnsi"/>
          <w:sz w:val="22"/>
          <w:szCs w:val="22"/>
          <w:lang w:val="cs-CZ"/>
        </w:rPr>
        <w:t>uložen</w:t>
      </w:r>
      <w:r w:rsidRPr="00883040">
        <w:rPr>
          <w:rFonts w:asciiTheme="majorHAnsi" w:hAnsiTheme="majorHAnsi" w:cstheme="majorHAnsi"/>
          <w:sz w:val="22"/>
          <w:szCs w:val="22"/>
          <w:lang w:val="cs-CZ"/>
        </w:rPr>
        <w:t xml:space="preserve">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r w:rsidR="004D3611">
        <w:rPr>
          <w:rFonts w:asciiTheme="majorHAnsi" w:hAnsiTheme="majorHAnsi" w:cstheme="majorHAnsi"/>
          <w:sz w:val="22"/>
          <w:szCs w:val="22"/>
          <w:lang w:val="cs-CZ"/>
        </w:rPr>
        <w:t xml:space="preserve"> na místě plnění</w:t>
      </w:r>
      <w:r w:rsidRPr="00883040">
        <w:rPr>
          <w:rFonts w:asciiTheme="majorHAnsi" w:hAnsiTheme="majorHAnsi" w:cstheme="majorHAnsi"/>
          <w:sz w:val="22"/>
          <w:szCs w:val="22"/>
          <w:lang w:val="cs-CZ"/>
        </w:rPr>
        <w:t>.</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745042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9E3521"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9E3521" w:rsidRDefault="009E3521" w:rsidP="009E3521">
      <w:pPr>
        <w:pStyle w:val="Odstavecseseznamem"/>
        <w:rPr>
          <w:rFonts w:asciiTheme="majorHAnsi" w:eastAsia="Times New Roman" w:hAnsiTheme="majorHAnsi" w:cstheme="majorHAnsi"/>
          <w:lang w:eastAsia="cs-CZ"/>
        </w:rPr>
      </w:pPr>
    </w:p>
    <w:p w14:paraId="30BC6DAA" w14:textId="7DBB7FC2" w:rsidR="009E3521" w:rsidRPr="00042C40"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42C40">
        <w:rPr>
          <w:rFonts w:asciiTheme="majorHAnsi" w:eastAsia="Times New Roman" w:hAnsiTheme="majorHAnsi" w:cstheme="majorHAnsi"/>
          <w:lang w:eastAsia="cs-CZ"/>
        </w:rPr>
        <w:t xml:space="preserve">Cena za servisní hodinu v pozáruční době činí … Kč bez DPH, kilometrovné … Kč bez DPH, další účelně vynaložené náklady nebudou hrazeny. </w:t>
      </w:r>
    </w:p>
    <w:p w14:paraId="35C08732" w14:textId="77777777" w:rsidR="009E3521" w:rsidRPr="00042C40" w:rsidRDefault="009E3521" w:rsidP="009E3521">
      <w:pPr>
        <w:pStyle w:val="Odstavecseseznamem"/>
        <w:rPr>
          <w:rFonts w:asciiTheme="majorHAnsi" w:eastAsia="Times New Roman" w:hAnsiTheme="majorHAnsi" w:cstheme="majorHAnsi"/>
          <w:lang w:eastAsia="cs-CZ"/>
        </w:rPr>
      </w:pPr>
    </w:p>
    <w:p w14:paraId="1DD5FFBC" w14:textId="24DAFE51" w:rsidR="009E3521" w:rsidRPr="00042C40"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42C40">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3BA2488"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list v </w:t>
      </w:r>
      <w:r w:rsidR="006549D0" w:rsidRPr="00042C40">
        <w:rPr>
          <w:rFonts w:asciiTheme="majorHAnsi" w:eastAsia="Times New Roman" w:hAnsiTheme="majorHAnsi" w:cstheme="majorHAnsi"/>
          <w:sz w:val="22"/>
          <w:szCs w:val="22"/>
          <w:lang w:val="cs-CZ" w:eastAsia="cs-CZ"/>
        </w:rPr>
        <w:t>českém jazyce</w:t>
      </w:r>
      <w:r w:rsidR="004D3611" w:rsidRPr="00042C40">
        <w:rPr>
          <w:rFonts w:asciiTheme="majorHAnsi" w:eastAsia="Times New Roman" w:hAnsiTheme="majorHAnsi" w:cstheme="majorHAnsi"/>
          <w:sz w:val="22"/>
          <w:szCs w:val="22"/>
          <w:lang w:val="cs-CZ" w:eastAsia="cs-CZ"/>
        </w:rPr>
        <w:t xml:space="preserve"> a další doklady uvedené v čl. 1 odst. 7</w:t>
      </w:r>
      <w:r w:rsidR="006549D0" w:rsidRPr="00042C40">
        <w:rPr>
          <w:rFonts w:asciiTheme="majorHAnsi" w:eastAsia="Times New Roman" w:hAnsiTheme="majorHAnsi" w:cstheme="majorHAnsi"/>
          <w:sz w:val="22"/>
          <w:szCs w:val="22"/>
          <w:lang w:val="cs-CZ" w:eastAsia="cs-CZ"/>
        </w:rPr>
        <w:t>.</w:t>
      </w:r>
      <w:r w:rsidR="00FE25C3" w:rsidRPr="00042C40">
        <w:rPr>
          <w:rFonts w:asciiTheme="majorHAnsi" w:eastAsia="Times New Roman" w:hAnsiTheme="majorHAnsi" w:cstheme="majorHAnsi"/>
          <w:sz w:val="22"/>
          <w:szCs w:val="22"/>
          <w:lang w:val="cs-CZ" w:eastAsia="cs-CZ"/>
        </w:rPr>
        <w:t xml:space="preserve"> </w:t>
      </w:r>
      <w:r w:rsidR="006549D0" w:rsidRPr="00042C40">
        <w:rPr>
          <w:rFonts w:asciiTheme="majorHAnsi" w:eastAsia="Times New Roman" w:hAnsiTheme="majorHAnsi" w:cstheme="majorHAnsi"/>
          <w:sz w:val="22"/>
          <w:szCs w:val="22"/>
          <w:lang w:val="cs-CZ" w:eastAsia="cs-CZ"/>
        </w:rPr>
        <w:t xml:space="preserve"> </w:t>
      </w:r>
      <w:r w:rsidR="005635C8" w:rsidRPr="00042C40">
        <w:rPr>
          <w:rFonts w:asciiTheme="majorHAnsi" w:eastAsia="Times New Roman" w:hAnsiTheme="majorHAnsi" w:cstheme="majorHAnsi"/>
          <w:sz w:val="22"/>
          <w:szCs w:val="22"/>
          <w:lang w:val="cs-CZ" w:eastAsia="cs-CZ"/>
        </w:rPr>
        <w:t>Doklady</w:t>
      </w:r>
      <w:r w:rsidR="005635C8" w:rsidRPr="00883040">
        <w:rPr>
          <w:rFonts w:asciiTheme="majorHAnsi" w:eastAsia="Times New Roman" w:hAnsiTheme="majorHAnsi" w:cstheme="majorHAnsi"/>
          <w:sz w:val="22"/>
          <w:szCs w:val="22"/>
          <w:lang w:val="cs-CZ" w:eastAsia="cs-CZ"/>
        </w:rPr>
        <w:t xml:space="preserve">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lastRenderedPageBreak/>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76026B"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76026B">
        <w:rPr>
          <w:rFonts w:asciiTheme="majorHAnsi" w:hAnsiTheme="majorHAnsi" w:cstheme="majorHAnsi"/>
          <w:sz w:val="22"/>
          <w:szCs w:val="22"/>
          <w:lang w:val="cs-CZ"/>
        </w:rPr>
        <w:t xml:space="preserve"> může od této smlouvy odstoupit v případě, že přes písemnou výzvu adresovanou </w:t>
      </w:r>
      <w:r w:rsidRPr="0076026B">
        <w:rPr>
          <w:rFonts w:asciiTheme="majorHAnsi" w:hAnsiTheme="majorHAnsi" w:cstheme="majorHAnsi"/>
          <w:sz w:val="22"/>
          <w:szCs w:val="22"/>
          <w:lang w:val="cs-CZ"/>
        </w:rPr>
        <w:t>Kupující</w:t>
      </w:r>
      <w:r w:rsidR="006549D0" w:rsidRPr="0076026B">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76026B">
        <w:rPr>
          <w:rFonts w:asciiTheme="majorHAnsi" w:hAnsiTheme="majorHAnsi" w:cstheme="majorHAnsi"/>
          <w:sz w:val="22"/>
          <w:szCs w:val="22"/>
          <w:lang w:val="cs-CZ"/>
        </w:rPr>
        <w:t>.</w:t>
      </w:r>
    </w:p>
    <w:p w14:paraId="4EC4F60B" w14:textId="77777777" w:rsidR="003049CF" w:rsidRPr="0076026B"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76026B" w:rsidRDefault="006549D0" w:rsidP="003049CF">
      <w:pPr>
        <w:widowControl w:val="0"/>
        <w:numPr>
          <w:ilvl w:val="0"/>
          <w:numId w:val="8"/>
        </w:numPr>
        <w:ind w:left="539" w:hanging="539"/>
        <w:jc w:val="both"/>
        <w:rPr>
          <w:rFonts w:asciiTheme="majorHAnsi" w:hAnsiTheme="majorHAnsi" w:cstheme="majorHAnsi"/>
          <w:sz w:val="22"/>
          <w:szCs w:val="22"/>
          <w:lang w:val="cs-CZ"/>
        </w:rPr>
      </w:pPr>
      <w:r w:rsidRPr="0076026B">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76026B">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za každý jednotlivý případ porušení stanovené </w:t>
      </w:r>
      <w:r w:rsidRPr="00883040">
        <w:rPr>
          <w:rFonts w:asciiTheme="majorHAnsi" w:eastAsia="Times New Roman" w:hAnsiTheme="majorHAnsi" w:cstheme="majorHAnsi"/>
          <w:sz w:val="22"/>
          <w:szCs w:val="22"/>
          <w:lang w:val="cs-CZ" w:eastAsia="cs-CZ"/>
        </w:rPr>
        <w:lastRenderedPageBreak/>
        <w:t>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3CEDE638" w14:textId="77777777" w:rsidR="001810A3" w:rsidRP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jméno:</w:t>
      </w:r>
      <w:r w:rsidRPr="001810A3">
        <w:rPr>
          <w:rFonts w:asciiTheme="majorHAnsi" w:eastAsia="Times New Roman" w:hAnsiTheme="majorHAnsi" w:cstheme="majorHAnsi"/>
          <w:sz w:val="22"/>
          <w:szCs w:val="22"/>
          <w:lang w:val="cs-CZ" w:eastAsia="cs-CZ"/>
        </w:rPr>
        <w:tab/>
      </w:r>
      <w:r w:rsidRPr="001810A3">
        <w:rPr>
          <w:rFonts w:asciiTheme="majorHAnsi" w:eastAsia="Times New Roman" w:hAnsiTheme="majorHAnsi" w:cstheme="majorHAnsi"/>
          <w:sz w:val="22"/>
          <w:szCs w:val="22"/>
          <w:lang w:val="cs-CZ" w:eastAsia="cs-CZ"/>
        </w:rPr>
        <w:tab/>
        <w:t xml:space="preserve">              Ing. Robert </w:t>
      </w:r>
      <w:proofErr w:type="spellStart"/>
      <w:r w:rsidRPr="001810A3">
        <w:rPr>
          <w:rFonts w:asciiTheme="majorHAnsi" w:eastAsia="Times New Roman" w:hAnsiTheme="majorHAnsi" w:cstheme="majorHAnsi"/>
          <w:sz w:val="22"/>
          <w:szCs w:val="22"/>
          <w:lang w:val="cs-CZ" w:eastAsia="cs-CZ"/>
        </w:rPr>
        <w:t>Kundel</w:t>
      </w:r>
      <w:proofErr w:type="spellEnd"/>
    </w:p>
    <w:p w14:paraId="0DA5D8A0" w14:textId="77777777" w:rsidR="001810A3" w:rsidRP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doručovací adresa:</w:t>
      </w:r>
      <w:r w:rsidRPr="001810A3">
        <w:rPr>
          <w:rFonts w:asciiTheme="majorHAnsi" w:eastAsia="Times New Roman" w:hAnsiTheme="majorHAnsi" w:cstheme="majorHAnsi"/>
          <w:sz w:val="22"/>
          <w:szCs w:val="22"/>
          <w:lang w:val="cs-CZ" w:eastAsia="cs-CZ"/>
        </w:rPr>
        <w:tab/>
        <w:t>Nemocnice Kyjov, příspěvková organizace</w:t>
      </w:r>
    </w:p>
    <w:p w14:paraId="2E742348" w14:textId="77777777" w:rsidR="001810A3" w:rsidRPr="001810A3" w:rsidRDefault="001810A3" w:rsidP="001810A3">
      <w:pPr>
        <w:widowControl w:val="0"/>
        <w:ind w:left="2856" w:firstLine="684"/>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Strážovská 1247/22, 697 01 Kyjov</w:t>
      </w:r>
    </w:p>
    <w:p w14:paraId="387A3AA1" w14:textId="77777777" w:rsidR="001810A3" w:rsidRP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telefon:</w:t>
      </w:r>
      <w:r w:rsidRPr="001810A3">
        <w:rPr>
          <w:rFonts w:asciiTheme="majorHAnsi" w:eastAsia="Times New Roman" w:hAnsiTheme="majorHAnsi" w:cstheme="majorHAnsi"/>
          <w:sz w:val="22"/>
          <w:szCs w:val="22"/>
          <w:lang w:val="cs-CZ" w:eastAsia="cs-CZ"/>
        </w:rPr>
        <w:tab/>
      </w:r>
      <w:r w:rsidRPr="001810A3">
        <w:rPr>
          <w:rFonts w:asciiTheme="majorHAnsi" w:eastAsia="Times New Roman" w:hAnsiTheme="majorHAnsi" w:cstheme="majorHAnsi"/>
          <w:sz w:val="22"/>
          <w:szCs w:val="22"/>
          <w:lang w:val="cs-CZ" w:eastAsia="cs-CZ"/>
        </w:rPr>
        <w:tab/>
        <w:t>601543826</w:t>
      </w:r>
    </w:p>
    <w:p w14:paraId="6B0DE2FC" w14:textId="71E516AB" w:rsid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email:</w:t>
      </w:r>
      <w:r w:rsidRPr="001810A3">
        <w:rPr>
          <w:rFonts w:asciiTheme="majorHAnsi" w:eastAsia="Times New Roman" w:hAnsiTheme="majorHAnsi" w:cstheme="majorHAnsi"/>
          <w:sz w:val="22"/>
          <w:szCs w:val="22"/>
          <w:lang w:val="cs-CZ" w:eastAsia="cs-CZ"/>
        </w:rPr>
        <w:tab/>
      </w:r>
      <w:r w:rsidRPr="001810A3">
        <w:rPr>
          <w:rFonts w:asciiTheme="majorHAnsi" w:eastAsia="Times New Roman" w:hAnsiTheme="majorHAnsi" w:cstheme="majorHAnsi"/>
          <w:sz w:val="22"/>
          <w:szCs w:val="22"/>
          <w:lang w:val="cs-CZ" w:eastAsia="cs-CZ"/>
        </w:rPr>
        <w:tab/>
        <w:t xml:space="preserve">              </w:t>
      </w:r>
      <w:hyperlink r:id="rId9" w:history="1">
        <w:r w:rsidRPr="00903D23">
          <w:rPr>
            <w:rStyle w:val="Hypertextovodkaz"/>
            <w:rFonts w:asciiTheme="majorHAnsi" w:eastAsia="Times New Roman" w:hAnsiTheme="majorHAnsi" w:cstheme="majorHAnsi"/>
            <w:sz w:val="22"/>
            <w:szCs w:val="22"/>
            <w:lang w:val="cs-CZ" w:eastAsia="cs-CZ"/>
          </w:rPr>
          <w:t>kundel.robert@nemkyj.cz</w:t>
        </w:r>
      </w:hyperlink>
    </w:p>
    <w:p w14:paraId="393AE4AA" w14:textId="4B829152" w:rsidR="00844DAC" w:rsidRPr="00883040" w:rsidRDefault="007206E0" w:rsidP="001810A3">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76026B"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76026B"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76026B"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w:t>
      </w:r>
      <w:r w:rsidR="00A376F9" w:rsidRPr="00883040">
        <w:rPr>
          <w:rStyle w:val="Zdraznn"/>
          <w:rFonts w:asciiTheme="majorHAnsi" w:hAnsiTheme="majorHAnsi" w:cstheme="majorHAnsi"/>
          <w:bCs/>
          <w:i w:val="0"/>
          <w:sz w:val="22"/>
          <w:szCs w:val="22"/>
          <w:bdr w:val="none" w:sz="0" w:space="0" w:color="auto" w:frame="1"/>
          <w:lang w:val="cs-CZ"/>
        </w:rPr>
        <w:lastRenderedPageBreak/>
        <w:t xml:space="preserve">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lastRenderedPageBreak/>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12"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12"/>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13"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13"/>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77A5" w14:textId="77777777" w:rsidR="00D74A99" w:rsidRDefault="00D74A99" w:rsidP="003220DA">
      <w:r>
        <w:separator/>
      </w:r>
    </w:p>
  </w:endnote>
  <w:endnote w:type="continuationSeparator" w:id="0">
    <w:p w14:paraId="354E3473" w14:textId="77777777" w:rsidR="00D74A99" w:rsidRDefault="00D74A99"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8F40" w14:textId="77777777" w:rsidR="00D74A99" w:rsidRDefault="00D74A99" w:rsidP="003220DA">
      <w:r>
        <w:separator/>
      </w:r>
    </w:p>
  </w:footnote>
  <w:footnote w:type="continuationSeparator" w:id="0">
    <w:p w14:paraId="5F1D99FB" w14:textId="77777777" w:rsidR="00D74A99" w:rsidRDefault="00D74A99"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prodávajícího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3DBBC0B5"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2E3F99">
      <w:rPr>
        <w:rFonts w:asciiTheme="majorHAnsi" w:eastAsia="Times New Roman" w:hAnsiTheme="majorHAnsi" w:cstheme="majorHAnsi"/>
        <w:b/>
        <w:bCs/>
        <w:sz w:val="16"/>
        <w:szCs w:val="16"/>
        <w:lang w:eastAsia="cs-CZ"/>
      </w:rPr>
      <w:t>Ultrazvukové</w:t>
    </w:r>
    <w:proofErr w:type="spellEnd"/>
    <w:r w:rsidR="002E3F99">
      <w:rPr>
        <w:rFonts w:asciiTheme="majorHAnsi" w:eastAsia="Times New Roman" w:hAnsiTheme="majorHAnsi" w:cstheme="majorHAnsi"/>
        <w:b/>
        <w:bCs/>
        <w:sz w:val="16"/>
        <w:szCs w:val="16"/>
        <w:lang w:eastAsia="cs-CZ"/>
      </w:rPr>
      <w:t xml:space="preserve"> </w:t>
    </w:r>
    <w:proofErr w:type="spellStart"/>
    <w:r w:rsidR="002E3F99">
      <w:rPr>
        <w:rFonts w:asciiTheme="majorHAnsi" w:eastAsia="Times New Roman" w:hAnsiTheme="majorHAnsi" w:cstheme="majorHAnsi"/>
        <w:b/>
        <w:bCs/>
        <w:sz w:val="16"/>
        <w:szCs w:val="16"/>
        <w:lang w:eastAsia="cs-CZ"/>
      </w:rPr>
      <w:t>přístroje</w:t>
    </w:r>
    <w:proofErr w:type="spellEnd"/>
    <w:r w:rsidR="007014E9" w:rsidRPr="00900DEC">
      <w:rPr>
        <w:rFonts w:asciiTheme="majorHAnsi" w:eastAsia="Times New Roman" w:hAnsiTheme="majorHAnsi" w:cstheme="majorHAnsi"/>
        <w:b/>
        <w:bCs/>
        <w:sz w:val="16"/>
        <w:szCs w:val="16"/>
        <w:lang w:eastAsia="cs-CZ"/>
      </w:rPr>
      <w:t xml:space="preserve"> pro </w:t>
    </w:r>
    <w:proofErr w:type="spellStart"/>
    <w:r w:rsidR="007014E9" w:rsidRPr="00900DEC">
      <w:rPr>
        <w:rFonts w:asciiTheme="majorHAnsi" w:eastAsia="Times New Roman" w:hAnsiTheme="majorHAnsi" w:cstheme="majorHAnsi"/>
        <w:b/>
        <w:bCs/>
        <w:sz w:val="16"/>
        <w:szCs w:val="16"/>
        <w:lang w:eastAsia="cs-CZ"/>
      </w:rPr>
      <w:t>ambulanci</w:t>
    </w:r>
    <w:proofErr w:type="spellEnd"/>
  </w:p>
  <w:p w14:paraId="437941C3" w14:textId="5998D681" w:rsidR="0057231D" w:rsidRPr="00883040" w:rsidRDefault="0057231D" w:rsidP="00D34284">
    <w:pPr>
      <w:pStyle w:val="Zhlav"/>
      <w:tabs>
        <w:tab w:val="left" w:pos="2127"/>
        <w:tab w:val="left" w:pos="5103"/>
      </w:tabs>
      <w:spacing w:after="240"/>
      <w:rPr>
        <w:rFonts w:asciiTheme="majorHAnsi" w:hAnsiTheme="majorHAnsi" w:cstheme="majorHAnsi"/>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
        <w:sz w:val="16"/>
        <w:szCs w:val="16"/>
      </w:rPr>
      <w:t xml:space="preserve">: </w:t>
    </w:r>
    <w:r w:rsidR="007014E9">
      <w:rPr>
        <w:rFonts w:asciiTheme="majorHAnsi" w:hAnsiTheme="majorHAnsi" w:cstheme="majorHAnsi"/>
        <w:b/>
        <w:sz w:val="16"/>
        <w:szCs w:val="16"/>
      </w:rPr>
      <w:t>VZ2025</w:t>
    </w:r>
    <w:r w:rsidR="005B6876">
      <w:rPr>
        <w:rFonts w:asciiTheme="majorHAnsi" w:hAnsiTheme="majorHAnsi" w:cstheme="majorHAnsi"/>
        <w:b/>
        <w:sz w:val="16"/>
        <w:szCs w:val="16"/>
      </w:rPr>
      <w:t>47</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E3A05C4"/>
    <w:multiLevelType w:val="hybridMultilevel"/>
    <w:tmpl w:val="D3C84254"/>
    <w:lvl w:ilvl="0" w:tplc="EB0CC23A">
      <w:start w:val="1"/>
      <w:numFmt w:val="decimal"/>
      <w:lvlText w:val="%1."/>
      <w:lvlJc w:val="left"/>
      <w:pPr>
        <w:ind w:left="1505" w:hanging="360"/>
      </w:pPr>
      <w:rPr>
        <w:b/>
        <w:bCs/>
      </w:r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5"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6"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8"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2F4F9D"/>
    <w:multiLevelType w:val="hybridMultilevel"/>
    <w:tmpl w:val="F880DD56"/>
    <w:lvl w:ilvl="0" w:tplc="0405000F">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8"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9"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0"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1" w15:restartNumberingAfterBreak="0">
    <w:nsid w:val="75BB68A4"/>
    <w:multiLevelType w:val="hybridMultilevel"/>
    <w:tmpl w:val="8B047E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3"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4"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5"/>
  </w:num>
  <w:num w:numId="2" w16cid:durableId="321470629">
    <w:abstractNumId w:val="9"/>
  </w:num>
  <w:num w:numId="3" w16cid:durableId="243998190">
    <w:abstractNumId w:val="17"/>
  </w:num>
  <w:num w:numId="4" w16cid:durableId="2140418606">
    <w:abstractNumId w:val="29"/>
  </w:num>
  <w:num w:numId="5" w16cid:durableId="1472092345">
    <w:abstractNumId w:val="33"/>
  </w:num>
  <w:num w:numId="6" w16cid:durableId="632247889">
    <w:abstractNumId w:val="0"/>
  </w:num>
  <w:num w:numId="7" w16cid:durableId="1483697444">
    <w:abstractNumId w:val="24"/>
  </w:num>
  <w:num w:numId="8" w16cid:durableId="1854759002">
    <w:abstractNumId w:val="40"/>
  </w:num>
  <w:num w:numId="9" w16cid:durableId="990250573">
    <w:abstractNumId w:val="38"/>
  </w:num>
  <w:num w:numId="10" w16cid:durableId="1418407385">
    <w:abstractNumId w:val="28"/>
  </w:num>
  <w:num w:numId="11" w16cid:durableId="1078284091">
    <w:abstractNumId w:val="36"/>
  </w:num>
  <w:num w:numId="12" w16cid:durableId="279994269">
    <w:abstractNumId w:val="15"/>
  </w:num>
  <w:num w:numId="13" w16cid:durableId="1146320241">
    <w:abstractNumId w:val="25"/>
  </w:num>
  <w:num w:numId="14" w16cid:durableId="1675721610">
    <w:abstractNumId w:val="11"/>
  </w:num>
  <w:num w:numId="15" w16cid:durableId="1328828430">
    <w:abstractNumId w:val="34"/>
  </w:num>
  <w:num w:numId="16" w16cid:durableId="1212771092">
    <w:abstractNumId w:val="44"/>
  </w:num>
  <w:num w:numId="17" w16cid:durableId="1863275127">
    <w:abstractNumId w:val="27"/>
  </w:num>
  <w:num w:numId="18" w16cid:durableId="1391031248">
    <w:abstractNumId w:val="16"/>
  </w:num>
  <w:num w:numId="19" w16cid:durableId="1831167825">
    <w:abstractNumId w:val="6"/>
  </w:num>
  <w:num w:numId="20" w16cid:durableId="1358000758">
    <w:abstractNumId w:val="22"/>
  </w:num>
  <w:num w:numId="21" w16cid:durableId="147795265">
    <w:abstractNumId w:val="10"/>
  </w:num>
  <w:num w:numId="22" w16cid:durableId="1553074489">
    <w:abstractNumId w:val="13"/>
  </w:num>
  <w:num w:numId="23" w16cid:durableId="2087141163">
    <w:abstractNumId w:val="8"/>
  </w:num>
  <w:num w:numId="24" w16cid:durableId="621351204">
    <w:abstractNumId w:val="39"/>
  </w:num>
  <w:num w:numId="25" w16cid:durableId="973488633">
    <w:abstractNumId w:val="30"/>
  </w:num>
  <w:num w:numId="26" w16cid:durableId="1010640799">
    <w:abstractNumId w:val="43"/>
  </w:num>
  <w:num w:numId="27" w16cid:durableId="1027409852">
    <w:abstractNumId w:val="21"/>
  </w:num>
  <w:num w:numId="28" w16cid:durableId="294718209">
    <w:abstractNumId w:val="23"/>
  </w:num>
  <w:num w:numId="29" w16cid:durableId="1083792773">
    <w:abstractNumId w:val="46"/>
  </w:num>
  <w:num w:numId="30" w16cid:durableId="39018009">
    <w:abstractNumId w:val="26"/>
  </w:num>
  <w:num w:numId="31" w16cid:durableId="1216048295">
    <w:abstractNumId w:val="32"/>
  </w:num>
  <w:num w:numId="32" w16cid:durableId="1012955523">
    <w:abstractNumId w:val="37"/>
  </w:num>
  <w:num w:numId="33" w16cid:durableId="1623460720">
    <w:abstractNumId w:val="20"/>
  </w:num>
  <w:num w:numId="34" w16cid:durableId="1045906074">
    <w:abstractNumId w:val="7"/>
  </w:num>
  <w:num w:numId="35" w16cid:durableId="1900938530">
    <w:abstractNumId w:val="42"/>
  </w:num>
  <w:num w:numId="36" w16cid:durableId="1807773919">
    <w:abstractNumId w:val="2"/>
  </w:num>
  <w:num w:numId="37" w16cid:durableId="189682162">
    <w:abstractNumId w:val="18"/>
  </w:num>
  <w:num w:numId="38" w16cid:durableId="1267422793">
    <w:abstractNumId w:val="35"/>
  </w:num>
  <w:num w:numId="39" w16cid:durableId="1471895600">
    <w:abstractNumId w:val="14"/>
  </w:num>
  <w:num w:numId="40" w16cid:durableId="605620434">
    <w:abstractNumId w:val="12"/>
  </w:num>
  <w:num w:numId="41" w16cid:durableId="1171410101">
    <w:abstractNumId w:val="5"/>
  </w:num>
  <w:num w:numId="42" w16cid:durableId="1000694993">
    <w:abstractNumId w:val="19"/>
  </w:num>
  <w:num w:numId="43" w16cid:durableId="1891264149">
    <w:abstractNumId w:val="31"/>
  </w:num>
  <w:num w:numId="44" w16cid:durableId="1695769185">
    <w:abstractNumId w:val="41"/>
  </w:num>
  <w:num w:numId="45" w16cid:durableId="711656160">
    <w:abstractNumId w:val="1"/>
  </w:num>
  <w:num w:numId="46" w16cid:durableId="26495401">
    <w:abstractNumId w:val="3"/>
  </w:num>
  <w:num w:numId="47" w16cid:durableId="284654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2C40"/>
    <w:rsid w:val="0004705A"/>
    <w:rsid w:val="00053C4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415"/>
    <w:rsid w:val="000C06C8"/>
    <w:rsid w:val="000C1660"/>
    <w:rsid w:val="000C3C35"/>
    <w:rsid w:val="000C43A2"/>
    <w:rsid w:val="000C5DFE"/>
    <w:rsid w:val="000C6351"/>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72800"/>
    <w:rsid w:val="00181044"/>
    <w:rsid w:val="001810A3"/>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3F99"/>
    <w:rsid w:val="002E71B0"/>
    <w:rsid w:val="002E7C9C"/>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17AC6"/>
    <w:rsid w:val="00320128"/>
    <w:rsid w:val="003220DA"/>
    <w:rsid w:val="003247BE"/>
    <w:rsid w:val="00325C77"/>
    <w:rsid w:val="00325DBF"/>
    <w:rsid w:val="003319F9"/>
    <w:rsid w:val="00333FD4"/>
    <w:rsid w:val="00334336"/>
    <w:rsid w:val="003361DC"/>
    <w:rsid w:val="003431A5"/>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756E"/>
    <w:rsid w:val="003923EB"/>
    <w:rsid w:val="003924BA"/>
    <w:rsid w:val="003939A2"/>
    <w:rsid w:val="003957FF"/>
    <w:rsid w:val="0039766A"/>
    <w:rsid w:val="003A5235"/>
    <w:rsid w:val="003A635A"/>
    <w:rsid w:val="003A6F6E"/>
    <w:rsid w:val="003B13C6"/>
    <w:rsid w:val="003B3F2A"/>
    <w:rsid w:val="003B64A4"/>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44D5"/>
    <w:rsid w:val="004A593A"/>
    <w:rsid w:val="004A5CAF"/>
    <w:rsid w:val="004B12D1"/>
    <w:rsid w:val="004B15DB"/>
    <w:rsid w:val="004B18EC"/>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6876"/>
    <w:rsid w:val="005B73E3"/>
    <w:rsid w:val="005B7D99"/>
    <w:rsid w:val="005C00DB"/>
    <w:rsid w:val="005C0F13"/>
    <w:rsid w:val="005C142D"/>
    <w:rsid w:val="005C5628"/>
    <w:rsid w:val="005C7568"/>
    <w:rsid w:val="005D07F8"/>
    <w:rsid w:val="005D1A03"/>
    <w:rsid w:val="005D23FE"/>
    <w:rsid w:val="005D365E"/>
    <w:rsid w:val="005D4ACD"/>
    <w:rsid w:val="005D7A03"/>
    <w:rsid w:val="005E1115"/>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5DF9"/>
    <w:rsid w:val="006C7A90"/>
    <w:rsid w:val="006D0697"/>
    <w:rsid w:val="006E385F"/>
    <w:rsid w:val="006E4782"/>
    <w:rsid w:val="006F3CC1"/>
    <w:rsid w:val="006F58A0"/>
    <w:rsid w:val="00700CCB"/>
    <w:rsid w:val="007014E9"/>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26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4F2A"/>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2D85"/>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4D31"/>
    <w:rsid w:val="008C5CB3"/>
    <w:rsid w:val="008C6101"/>
    <w:rsid w:val="008C74B0"/>
    <w:rsid w:val="008D1667"/>
    <w:rsid w:val="008D4E22"/>
    <w:rsid w:val="008D610E"/>
    <w:rsid w:val="008E5378"/>
    <w:rsid w:val="008E5758"/>
    <w:rsid w:val="008E695F"/>
    <w:rsid w:val="008F130E"/>
    <w:rsid w:val="008F19BD"/>
    <w:rsid w:val="008F2553"/>
    <w:rsid w:val="008F272D"/>
    <w:rsid w:val="008F2A74"/>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37848"/>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36C"/>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27B7F"/>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28F2"/>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3BE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4A99"/>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02F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378C"/>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138"/>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45DF"/>
    <w:rsid w:val="00FD4D3E"/>
    <w:rsid w:val="00FD53C2"/>
    <w:rsid w:val="00FD70BB"/>
    <w:rsid w:val="00FE087E"/>
    <w:rsid w:val="00FE1AB0"/>
    <w:rsid w:val="00FE25C3"/>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1810A3"/>
    <w:rPr>
      <w:color w:val="0563C1" w:themeColor="hyperlink"/>
      <w:u w:val="single"/>
    </w:rPr>
  </w:style>
  <w:style w:type="character" w:styleId="Nevyeenzmnka">
    <w:name w:val="Unresolved Mention"/>
    <w:basedOn w:val="Standardnpsmoodstavce"/>
    <w:uiPriority w:val="99"/>
    <w:semiHidden/>
    <w:unhideWhenUsed/>
    <w:rsid w:val="00181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ndel.robert@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16</Pages>
  <Words>6327</Words>
  <Characters>37332</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54</cp:revision>
  <dcterms:created xsi:type="dcterms:W3CDTF">2024-08-26T10:37:00Z</dcterms:created>
  <dcterms:modified xsi:type="dcterms:W3CDTF">2025-08-04T05:00:00Z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