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CEB" w14:textId="77777777" w:rsidR="008D4311" w:rsidRDefault="008D43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B907" w14:textId="77777777" w:rsidR="008D4311" w:rsidRDefault="008D43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97E3" w14:textId="77777777" w:rsidR="008D4311" w:rsidRDefault="008D43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732BDA0F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6 ZD </w:t>
    </w:r>
    <w:r w:rsidR="008D4311">
      <w:rPr>
        <w:rFonts w:asciiTheme="majorHAnsi" w:hAnsiTheme="majorHAnsi" w:cstheme="majorHAnsi"/>
      </w:rPr>
      <w:t>Ultrazvukové přístroje pro ambulanci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D36BF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D4311"/>
    <w:rsid w:val="008F2A74"/>
    <w:rsid w:val="008F5CD3"/>
    <w:rsid w:val="008F6334"/>
    <w:rsid w:val="008F6638"/>
    <w:rsid w:val="00903C90"/>
    <w:rsid w:val="00943F3E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83895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17D9"/>
    <w:rsid w:val="00B747CE"/>
    <w:rsid w:val="00BB4F4F"/>
    <w:rsid w:val="00BD49AB"/>
    <w:rsid w:val="00BF0977"/>
    <w:rsid w:val="00C011A5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7FFA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8F2A74"/>
    <w:rsid w:val="00943F3E"/>
    <w:rsid w:val="00C011A5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11</cp:revision>
  <dcterms:created xsi:type="dcterms:W3CDTF">2022-06-02T06:16:00Z</dcterms:created>
  <dcterms:modified xsi:type="dcterms:W3CDTF">2025-07-02T07:54:00Z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