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F52EFA" w:rsidRDefault="00362304" w:rsidP="00D34284">
      <w:pPr>
        <w:pStyle w:val="Zhlav"/>
        <w:rPr>
          <w:lang w:val="cs-CZ"/>
        </w:rPr>
      </w:pPr>
      <w:r>
        <w:rPr>
          <w:rFonts w:eastAsia="Times New Roman" w:cs="Arial"/>
          <w:b/>
          <w:caps/>
          <w:sz w:val="24"/>
          <w:szCs w:val="24"/>
          <w:lang w:val="cs-CZ" w:eastAsia="cs-CZ"/>
        </w:rPr>
        <w:t xml:space="preserve">       </w:t>
      </w:r>
      <w:r w:rsidR="00D34284" w:rsidRPr="00F52EFA">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2B762413"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004573E8">
        <w:rPr>
          <w:rFonts w:asciiTheme="majorHAnsi" w:eastAsia="Times New Roman" w:hAnsiTheme="majorHAnsi" w:cstheme="majorHAnsi"/>
          <w:sz w:val="22"/>
          <w:szCs w:val="22"/>
          <w:lang w:val="cs-CZ" w:eastAsia="cs-CZ"/>
        </w:rPr>
        <w:tab/>
      </w:r>
      <w:r w:rsidRPr="00B42B44">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B42B44">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bookmarkStart w:id="0" w:name="Text12"/>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B42B44">
        <w:rPr>
          <w:rFonts w:asciiTheme="majorHAnsi" w:eastAsia="Times New Roman" w:hAnsiTheme="majorHAnsi" w:cstheme="majorHAnsi"/>
          <w:b/>
          <w:sz w:val="22"/>
          <w:szCs w:val="22"/>
          <w:highlight w:val="yellow"/>
          <w:lang w:val="cs-CZ" w:eastAsia="cs-CZ"/>
        </w:rPr>
        <w:fldChar w:fldCharType="begin">
          <w:ffData>
            <w:name w:val="Text13"/>
            <w:enabled/>
            <w:calcOnExit w:val="0"/>
            <w:textInput/>
          </w:ffData>
        </w:fldChar>
      </w:r>
      <w:bookmarkStart w:id="1" w:name="Text13"/>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B42B44">
        <w:rPr>
          <w:rFonts w:asciiTheme="majorHAnsi" w:eastAsia="Times New Roman" w:hAnsiTheme="majorHAnsi" w:cstheme="majorHAnsi"/>
          <w:b/>
          <w:sz w:val="22"/>
          <w:szCs w:val="22"/>
          <w:highlight w:val="yellow"/>
          <w:lang w:val="cs-CZ" w:eastAsia="cs-CZ"/>
        </w:rPr>
        <w:fldChar w:fldCharType="begin">
          <w:ffData>
            <w:name w:val="Text14"/>
            <w:enabled/>
            <w:calcOnExit w:val="0"/>
            <w:textInput/>
          </w:ffData>
        </w:fldChar>
      </w:r>
      <w:bookmarkStart w:id="2" w:name="Text14"/>
      <w:r w:rsidR="006549D0" w:rsidRPr="00B42B44">
        <w:rPr>
          <w:rFonts w:asciiTheme="majorHAnsi" w:eastAsia="Times New Roman" w:hAnsiTheme="majorHAnsi" w:cstheme="majorHAnsi"/>
          <w:b/>
          <w:sz w:val="22"/>
          <w:szCs w:val="22"/>
          <w:highlight w:val="yellow"/>
          <w:lang w:val="cs-CZ" w:eastAsia="cs-CZ"/>
        </w:rPr>
        <w:instrText xml:space="preserve"> FORMTEXT </w:instrText>
      </w:r>
      <w:r w:rsidR="006549D0" w:rsidRPr="00B42B44">
        <w:rPr>
          <w:rFonts w:asciiTheme="majorHAnsi" w:eastAsia="Times New Roman" w:hAnsiTheme="majorHAnsi" w:cstheme="majorHAnsi"/>
          <w:b/>
          <w:sz w:val="22"/>
          <w:szCs w:val="22"/>
          <w:highlight w:val="yellow"/>
          <w:lang w:val="cs-CZ" w:eastAsia="cs-CZ"/>
        </w:rPr>
      </w:r>
      <w:r w:rsidR="006549D0" w:rsidRPr="00B42B44">
        <w:rPr>
          <w:rFonts w:asciiTheme="majorHAnsi" w:eastAsia="Times New Roman" w:hAnsiTheme="majorHAnsi" w:cstheme="majorHAnsi"/>
          <w:b/>
          <w:sz w:val="22"/>
          <w:szCs w:val="22"/>
          <w:highlight w:val="yellow"/>
          <w:lang w:val="cs-CZ" w:eastAsia="cs-CZ"/>
        </w:rPr>
        <w:fldChar w:fldCharType="separate"/>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noProof/>
          <w:sz w:val="22"/>
          <w:szCs w:val="22"/>
          <w:highlight w:val="yellow"/>
          <w:lang w:val="cs-CZ" w:eastAsia="cs-CZ"/>
        </w:rPr>
        <w:t> </w:t>
      </w:r>
      <w:r w:rsidR="006549D0" w:rsidRPr="00B42B44">
        <w:rPr>
          <w:rFonts w:asciiTheme="majorHAnsi" w:eastAsia="Times New Roman" w:hAnsiTheme="majorHAnsi" w:cstheme="majorHAnsi"/>
          <w:b/>
          <w:sz w:val="22"/>
          <w:szCs w:val="22"/>
          <w:highlight w:val="yellow"/>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B42B44">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bookmarkStart w:id="3" w:name="Text15"/>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B42B44">
        <w:rPr>
          <w:rFonts w:asciiTheme="majorHAnsi" w:eastAsia="Times New Roman" w:hAnsiTheme="majorHAnsi" w:cstheme="majorHAnsi"/>
          <w:b/>
          <w:sz w:val="22"/>
          <w:szCs w:val="22"/>
          <w:lang w:val="cs-CZ" w:eastAsia="cs-CZ"/>
        </w:rPr>
        <w:t xml:space="preserve"> </w:t>
      </w:r>
      <w:r w:rsidRPr="00B42B44">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B42B44">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bookmarkStart w:id="4" w:name="Text16"/>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B42B44">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r w:rsidRPr="00B42B44">
        <w:rPr>
          <w:rFonts w:asciiTheme="majorHAnsi" w:eastAsia="Times New Roman" w:hAnsiTheme="majorHAnsi" w:cstheme="majorHAnsi"/>
          <w:b/>
          <w:sz w:val="22"/>
          <w:szCs w:val="22"/>
          <w:highlight w:val="yellow"/>
          <w:lang w:val="cs-CZ" w:eastAsia="cs-CZ"/>
        </w:rPr>
        <w:instrText xml:space="preserve"> FORMTEXT </w:instrText>
      </w:r>
      <w:r w:rsidRPr="00B42B44">
        <w:rPr>
          <w:rFonts w:asciiTheme="majorHAnsi" w:eastAsia="Times New Roman" w:hAnsiTheme="majorHAnsi" w:cstheme="majorHAnsi"/>
          <w:b/>
          <w:sz w:val="22"/>
          <w:szCs w:val="22"/>
          <w:highlight w:val="yellow"/>
          <w:lang w:val="cs-CZ" w:eastAsia="cs-CZ"/>
        </w:rPr>
      </w:r>
      <w:r w:rsidRPr="00B42B44">
        <w:rPr>
          <w:rFonts w:asciiTheme="majorHAnsi" w:eastAsia="Times New Roman" w:hAnsiTheme="majorHAnsi" w:cstheme="majorHAnsi"/>
          <w:b/>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sz w:val="22"/>
          <w:szCs w:val="22"/>
          <w:highlight w:val="yellow"/>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B42B44">
        <w:rPr>
          <w:rFonts w:asciiTheme="majorHAnsi" w:eastAsia="Times New Roman" w:hAnsiTheme="majorHAnsi" w:cstheme="majorHAnsi"/>
          <w:b/>
          <w:noProof/>
          <w:sz w:val="22"/>
          <w:szCs w:val="22"/>
          <w:highlight w:val="yellow"/>
          <w:lang w:val="cs-CZ" w:eastAsia="cs-CZ"/>
        </w:rPr>
        <w:fldChar w:fldCharType="begin">
          <w:ffData>
            <w:name w:val="Text17"/>
            <w:enabled/>
            <w:calcOnExit w:val="0"/>
            <w:textInput/>
          </w:ffData>
        </w:fldChar>
      </w:r>
      <w:bookmarkStart w:id="5" w:name="Text17"/>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B42B44">
        <w:rPr>
          <w:rFonts w:asciiTheme="majorHAnsi" w:eastAsia="Times New Roman" w:hAnsiTheme="majorHAnsi" w:cstheme="majorHAnsi"/>
          <w:b/>
          <w:noProof/>
          <w:sz w:val="22"/>
          <w:szCs w:val="22"/>
          <w:highlight w:val="yellow"/>
          <w:lang w:val="cs-CZ" w:eastAsia="cs-CZ"/>
        </w:rPr>
        <w:fldChar w:fldCharType="begin">
          <w:ffData>
            <w:name w:val="Text18"/>
            <w:enabled/>
            <w:calcOnExit w:val="0"/>
            <w:textInput/>
          </w:ffData>
        </w:fldChar>
      </w:r>
      <w:bookmarkStart w:id="6" w:name="Text18"/>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B42B44">
        <w:rPr>
          <w:rFonts w:asciiTheme="majorHAnsi" w:eastAsia="Times New Roman" w:hAnsiTheme="majorHAnsi" w:cstheme="majorHAnsi"/>
          <w:b/>
          <w:noProof/>
          <w:sz w:val="22"/>
          <w:szCs w:val="22"/>
          <w:highlight w:val="yellow"/>
          <w:lang w:val="cs-CZ" w:eastAsia="cs-CZ"/>
        </w:rPr>
        <w:fldChar w:fldCharType="begin">
          <w:ffData>
            <w:name w:val="Text19"/>
            <w:enabled/>
            <w:calcOnExit w:val="0"/>
            <w:textInput/>
          </w:ffData>
        </w:fldChar>
      </w:r>
      <w:bookmarkStart w:id="7" w:name="Text19"/>
      <w:r w:rsidRPr="00B42B44">
        <w:rPr>
          <w:rFonts w:asciiTheme="majorHAnsi" w:eastAsia="Times New Roman" w:hAnsiTheme="majorHAnsi" w:cstheme="majorHAnsi"/>
          <w:b/>
          <w:noProof/>
          <w:sz w:val="22"/>
          <w:szCs w:val="22"/>
          <w:highlight w:val="yellow"/>
          <w:lang w:val="cs-CZ" w:eastAsia="cs-CZ"/>
        </w:rPr>
        <w:instrText xml:space="preserve"> FORMTEXT </w:instrText>
      </w:r>
      <w:r w:rsidRPr="00B42B44">
        <w:rPr>
          <w:rFonts w:asciiTheme="majorHAnsi" w:eastAsia="Times New Roman" w:hAnsiTheme="majorHAnsi" w:cstheme="majorHAnsi"/>
          <w:b/>
          <w:noProof/>
          <w:sz w:val="22"/>
          <w:szCs w:val="22"/>
          <w:highlight w:val="yellow"/>
          <w:lang w:val="cs-CZ" w:eastAsia="cs-CZ"/>
        </w:rPr>
      </w:r>
      <w:r w:rsidRPr="00B42B44">
        <w:rPr>
          <w:rFonts w:asciiTheme="majorHAnsi" w:eastAsia="Times New Roman" w:hAnsiTheme="majorHAnsi" w:cstheme="majorHAnsi"/>
          <w:b/>
          <w:noProof/>
          <w:sz w:val="22"/>
          <w:szCs w:val="22"/>
          <w:highlight w:val="yellow"/>
          <w:lang w:val="cs-CZ" w:eastAsia="cs-CZ"/>
        </w:rPr>
        <w:fldChar w:fldCharType="separate"/>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t> </w:t>
      </w:r>
      <w:r w:rsidRPr="00B42B44">
        <w:rPr>
          <w:rFonts w:asciiTheme="majorHAnsi" w:eastAsia="Times New Roman" w:hAnsiTheme="majorHAnsi" w:cstheme="majorHAnsi"/>
          <w:b/>
          <w:noProof/>
          <w:sz w:val="22"/>
          <w:szCs w:val="22"/>
          <w:highlight w:val="yellow"/>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27FF6C2B"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A70D89" w:rsidRPr="00A70D89">
        <w:rPr>
          <w:rFonts w:asciiTheme="majorHAnsi" w:eastAsia="Times New Roman" w:hAnsiTheme="majorHAnsi" w:cstheme="majorHAnsi"/>
          <w:spacing w:val="-3"/>
          <w:sz w:val="22"/>
          <w:szCs w:val="22"/>
          <w:lang w:val="cs-CZ" w:eastAsia="cs-CZ"/>
        </w:rPr>
        <w:t xml:space="preserve">Ing. Milan Škarka, Ph.D., MBA, </w:t>
      </w:r>
      <w:r w:rsidR="00B616F9" w:rsidRPr="00B616F9">
        <w:rPr>
          <w:rFonts w:asciiTheme="majorHAnsi" w:eastAsia="Times New Roman" w:hAnsiTheme="majorHAnsi" w:cstheme="majorHAnsi"/>
          <w:spacing w:val="-3"/>
          <w:sz w:val="22"/>
          <w:szCs w:val="22"/>
          <w:lang w:val="cs-CZ" w:eastAsia="cs-CZ"/>
        </w:rPr>
        <w:t>statutární zástupce</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9B31B11"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7273BB" w:rsidRPr="007273BB">
        <w:rPr>
          <w:rFonts w:asciiTheme="majorHAnsi" w:eastAsia="Times New Roman" w:hAnsiTheme="majorHAnsi" w:cstheme="majorHAnsi"/>
          <w:b/>
          <w:bCs/>
          <w:sz w:val="22"/>
          <w:szCs w:val="22"/>
          <w:lang w:val="cs-CZ" w:eastAsia="cs-CZ"/>
        </w:rPr>
        <w:t>Přístroj na screening diabetické retinopatie</w:t>
      </w:r>
      <w:r w:rsidR="007273BB">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56744021" w14:textId="3CB921FD" w:rsidR="00A16BDB" w:rsidRDefault="006549D0" w:rsidP="00A16BDB">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4B69F5">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7273BB" w:rsidRPr="007273BB">
        <w:rPr>
          <w:rFonts w:asciiTheme="majorHAnsi" w:eastAsia="Times New Roman" w:hAnsiTheme="majorHAnsi" w:cstheme="majorHAnsi"/>
          <w:b/>
          <w:bCs/>
          <w:sz w:val="22"/>
          <w:szCs w:val="22"/>
          <w:u w:val="single"/>
          <w:lang w:val="cs-CZ" w:eastAsia="cs-CZ"/>
        </w:rPr>
        <w:t>Přístroj na screening diabetické retinopatie</w:t>
      </w:r>
      <w:r w:rsidR="008E12E9">
        <w:rPr>
          <w:rFonts w:asciiTheme="majorHAnsi" w:eastAsia="Times New Roman" w:hAnsiTheme="majorHAnsi" w:cstheme="majorHAnsi"/>
          <w:sz w:val="22"/>
          <w:szCs w:val="22"/>
          <w:lang w:val="cs-CZ" w:eastAsia="cs-CZ"/>
        </w:rPr>
        <w:t xml:space="preserve">. Součástí </w:t>
      </w:r>
      <w:r w:rsidR="00F870EA">
        <w:rPr>
          <w:rFonts w:asciiTheme="majorHAnsi" w:eastAsia="Times New Roman" w:hAnsiTheme="majorHAnsi" w:cstheme="majorHAnsi"/>
          <w:sz w:val="22"/>
          <w:szCs w:val="22"/>
          <w:lang w:val="cs-CZ" w:eastAsia="cs-CZ"/>
        </w:rPr>
        <w:t xml:space="preserve">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4573E8">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3888F014" w14:textId="2119C987" w:rsidR="008F130E" w:rsidRPr="00A16BDB" w:rsidRDefault="007273BB" w:rsidP="007273BB">
      <w:pPr>
        <w:pStyle w:val="Odstavecseseznamem"/>
        <w:spacing w:after="240"/>
        <w:ind w:left="993"/>
        <w:jc w:val="both"/>
        <w:rPr>
          <w:rFonts w:asciiTheme="majorHAnsi" w:hAnsiTheme="majorHAnsi" w:cstheme="majorHAnsi"/>
          <w:bCs/>
        </w:rPr>
      </w:pPr>
      <w:r w:rsidRPr="007273BB">
        <w:rPr>
          <w:rFonts w:asciiTheme="majorHAnsi" w:hAnsiTheme="majorHAnsi" w:cstheme="majorHAnsi"/>
          <w:b/>
          <w:bCs/>
        </w:rPr>
        <w:t>Přístroj na screening diabetické retinopatie</w:t>
      </w:r>
      <w:r w:rsidR="00353FE3" w:rsidRPr="00A16BDB">
        <w:rPr>
          <w:rFonts w:asciiTheme="majorHAnsi" w:hAnsiTheme="majorHAnsi" w:cstheme="majorHAnsi"/>
          <w:b/>
          <w:bCs/>
        </w:rPr>
        <w:t xml:space="preserve"> </w:t>
      </w:r>
      <w:r w:rsidR="00F60BD0" w:rsidRPr="00A16BDB">
        <w:rPr>
          <w:rFonts w:asciiTheme="majorHAnsi" w:hAnsiTheme="majorHAnsi" w:cstheme="majorHAnsi"/>
          <w:b/>
          <w:bCs/>
          <w:i/>
        </w:rPr>
        <w:t xml:space="preserve">- </w:t>
      </w:r>
      <w:r w:rsidR="00A16BDB" w:rsidRPr="00A16BDB">
        <w:rPr>
          <w:rFonts w:asciiTheme="majorHAnsi" w:hAnsiTheme="majorHAnsi" w:cstheme="majorHAnsi"/>
          <w:b/>
          <w:bCs/>
          <w:i/>
        </w:rPr>
        <w:t xml:space="preserve">1 </w:t>
      </w:r>
      <w:r w:rsidR="00353FE3" w:rsidRPr="00A16BDB">
        <w:rPr>
          <w:rFonts w:asciiTheme="majorHAnsi" w:hAnsiTheme="majorHAnsi" w:cstheme="majorHAnsi"/>
          <w:b/>
          <w:bCs/>
          <w:i/>
        </w:rPr>
        <w:t>ks</w:t>
      </w:r>
      <w:r w:rsidR="00353FE3" w:rsidRPr="00A16BDB">
        <w:rPr>
          <w:rFonts w:asciiTheme="majorHAnsi" w:hAnsiTheme="majorHAnsi" w:cstheme="majorHAnsi"/>
          <w:i/>
        </w:rPr>
        <w:t>,</w:t>
      </w:r>
      <w:r w:rsidR="00A16BDB">
        <w:rPr>
          <w:rFonts w:asciiTheme="majorHAnsi" w:hAnsiTheme="majorHAnsi" w:cstheme="majorHAnsi"/>
          <w:i/>
        </w:rPr>
        <w:t xml:space="preserve"> </w:t>
      </w:r>
      <w:r w:rsidR="00353FE3" w:rsidRPr="00A16BDB">
        <w:rPr>
          <w:rFonts w:asciiTheme="majorHAnsi" w:hAnsiTheme="majorHAnsi" w:cstheme="majorHAnsi"/>
          <w:i/>
          <w:highlight w:val="yellow"/>
        </w:rPr>
        <w:t xml:space="preserve"> </w:t>
      </w:r>
      <w:r w:rsidR="008F130E" w:rsidRPr="00A16BDB">
        <w:rPr>
          <w:rFonts w:asciiTheme="majorHAnsi" w:hAnsiTheme="majorHAnsi" w:cstheme="majorHAnsi"/>
          <w:i/>
          <w:highlight w:val="yellow"/>
        </w:rPr>
        <w:t>typové označení</w:t>
      </w:r>
      <w:r w:rsidR="00B46B6F" w:rsidRPr="00A16BDB">
        <w:rPr>
          <w:rFonts w:asciiTheme="majorHAnsi" w:hAnsiTheme="majorHAnsi" w:cstheme="majorHAnsi"/>
          <w:i/>
          <w:highlight w:val="yellow"/>
        </w:rPr>
        <w:t>…………</w:t>
      </w:r>
      <w:r w:rsidR="008F130E" w:rsidRPr="00A16BDB">
        <w:rPr>
          <w:rFonts w:asciiTheme="majorHAnsi" w:hAnsiTheme="majorHAnsi" w:cstheme="majorHAnsi"/>
          <w:highlight w:val="yellow"/>
        </w:rPr>
        <w:t xml:space="preserve">, </w:t>
      </w:r>
      <w:r w:rsidR="008F130E" w:rsidRPr="00A16BDB">
        <w:rPr>
          <w:rFonts w:asciiTheme="majorHAnsi" w:hAnsiTheme="majorHAnsi" w:cstheme="majorHAnsi"/>
          <w:i/>
          <w:highlight w:val="yellow"/>
        </w:rPr>
        <w:t>(výrobce)</w:t>
      </w:r>
      <w:r w:rsidR="008F130E" w:rsidRPr="00A16BDB">
        <w:rPr>
          <w:rFonts w:asciiTheme="majorHAnsi" w:hAnsiTheme="majorHAnsi" w:cstheme="majorHAnsi"/>
          <w:highlight w:val="yellow"/>
        </w:rPr>
        <w:t xml:space="preserve"> ………………..</w:t>
      </w: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4777BD82"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4B69F5">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lastRenderedPageBreak/>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384B61A1" w:rsidR="00B42B44" w:rsidRDefault="00B42B44">
      <w:pPr>
        <w:spacing w:after="160" w:line="259" w:lineRule="auto"/>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br w:type="page"/>
      </w:r>
    </w:p>
    <w:p w14:paraId="3EED3920"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8710B0" w:rsidRDefault="00DF02F6" w:rsidP="008710B0">
      <w:pPr>
        <w:numPr>
          <w:ilvl w:val="0"/>
          <w:numId w:val="18"/>
        </w:numPr>
        <w:ind w:left="990" w:hanging="423"/>
        <w:jc w:val="both"/>
        <w:rPr>
          <w:rFonts w:asciiTheme="majorHAnsi" w:hAnsiTheme="majorHAnsi" w:cstheme="majorHAnsi"/>
          <w:sz w:val="22"/>
          <w:szCs w:val="22"/>
          <w:lang w:val="cs-CZ"/>
        </w:rPr>
      </w:pPr>
      <w:bookmarkStart w:id="8" w:name="_Hlk199921522"/>
      <w:r w:rsidRPr="008710B0">
        <w:rPr>
          <w:rFonts w:asciiTheme="majorHAnsi" w:hAnsiTheme="majorHAnsi" w:cstheme="majorHAnsi"/>
          <w:b/>
          <w:bCs/>
          <w:sz w:val="22"/>
          <w:szCs w:val="22"/>
          <w:lang w:val="cs-CZ"/>
        </w:rPr>
        <w:t>předání veškeré dokumentace nutné k převzetí a užívání Předmětu plnění</w:t>
      </w:r>
      <w:r w:rsidRPr="008710B0">
        <w:rPr>
          <w:rFonts w:asciiTheme="majorHAnsi" w:hAnsiTheme="majorHAnsi" w:cstheme="majorHAnsi"/>
          <w:sz w:val="22"/>
          <w:szCs w:val="22"/>
          <w:lang w:val="cs-CZ"/>
        </w:rPr>
        <w:t>:</w:t>
      </w:r>
    </w:p>
    <w:p w14:paraId="1F2782F6" w14:textId="77777777" w:rsidR="00DF02F6" w:rsidRPr="004573E8" w:rsidRDefault="00DF02F6" w:rsidP="00DF02F6">
      <w:pPr>
        <w:pStyle w:val="Odstavecseseznamem"/>
        <w:ind w:left="990" w:firstLine="30"/>
        <w:jc w:val="both"/>
        <w:rPr>
          <w:rFonts w:asciiTheme="majorHAnsi" w:hAnsiTheme="majorHAnsi" w:cstheme="majorHAnsi"/>
        </w:rPr>
      </w:pPr>
      <w:r w:rsidRPr="004573E8">
        <w:rPr>
          <w:rFonts w:asciiTheme="majorHAnsi" w:hAnsiTheme="majorHAnsi" w:cstheme="majorHAnsi"/>
        </w:rPr>
        <w:t xml:space="preserve">s předáním předmětu plnění vystaví prodávající </w:t>
      </w:r>
      <w:r w:rsidRPr="004573E8">
        <w:rPr>
          <w:rFonts w:asciiTheme="majorHAnsi" w:hAnsiTheme="majorHAnsi" w:cstheme="majorHAnsi"/>
          <w:b/>
          <w:bCs/>
        </w:rPr>
        <w:t>následující doklady</w:t>
      </w:r>
      <w:r w:rsidRPr="004573E8">
        <w:rPr>
          <w:rFonts w:asciiTheme="majorHAnsi" w:hAnsiTheme="majorHAnsi" w:cstheme="majorHAnsi"/>
        </w:rPr>
        <w:t>, které budou obsahovat níže uvedené náležitosti:</w:t>
      </w:r>
    </w:p>
    <w:p w14:paraId="7ACC2141" w14:textId="77777777" w:rsidR="00DF02F6" w:rsidRPr="004573E8"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4573E8">
        <w:rPr>
          <w:rFonts w:asciiTheme="majorHAnsi" w:hAnsiTheme="majorHAnsi" w:cstheme="majorHAnsi"/>
          <w:b/>
          <w:bCs/>
        </w:rPr>
        <w:t>Předávací protokol</w:t>
      </w:r>
      <w:r w:rsidRPr="004573E8">
        <w:rPr>
          <w:rFonts w:asciiTheme="majorHAnsi" w:hAnsiTheme="majorHAnsi" w:cstheme="majorHAnsi"/>
        </w:rPr>
        <w:t xml:space="preserve"> s uvedením:</w:t>
      </w:r>
    </w:p>
    <w:p w14:paraId="0424A324" w14:textId="77777777" w:rsidR="00DF02F6" w:rsidRPr="004573E8"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4573E8">
        <w:rPr>
          <w:rFonts w:asciiTheme="majorHAnsi" w:hAnsiTheme="majorHAnsi" w:cstheme="majorHAnsi"/>
        </w:rPr>
        <w:t>názvu a sídla prodávajícího a kupujícího</w:t>
      </w:r>
    </w:p>
    <w:p w14:paraId="0C935E8B"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čísla kupní smlouvy kupujícího</w:t>
      </w:r>
    </w:p>
    <w:p w14:paraId="0C9EB265"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názvu, typu a modelu přístroje</w:t>
      </w:r>
    </w:p>
    <w:p w14:paraId="3F2E9380"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výrobního čísla zdravotnického prostředku (přístroje)</w:t>
      </w:r>
    </w:p>
    <w:p w14:paraId="78DD61EC"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UDI kódu zdravotnického prostředku (přístroje)</w:t>
      </w:r>
    </w:p>
    <w:p w14:paraId="6002A56D"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ÚZIS kódu zdravotnického prostředku (přístroje)</w:t>
      </w:r>
    </w:p>
    <w:p w14:paraId="609128D4"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stanovením třídy zdravotnického prostředku (přístroje) (I, IIa, IIb, III)</w:t>
      </w:r>
    </w:p>
    <w:p w14:paraId="3BD82BE0"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potvrzením o instalaci a přezkoušení zdravotnického prostředku (přístroje)</w:t>
      </w:r>
    </w:p>
    <w:p w14:paraId="6F180890"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8710B0"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8710B0">
        <w:rPr>
          <w:rFonts w:asciiTheme="majorHAnsi" w:hAnsiTheme="majorHAnsi" w:cstheme="majorHAnsi"/>
        </w:rPr>
        <w:t>stavu zařízení v okamžiku jeho předání a převzetí</w:t>
      </w:r>
    </w:p>
    <w:p w14:paraId="00668238" w14:textId="77777777" w:rsidR="00DF02F6" w:rsidRPr="008710B0" w:rsidRDefault="00DF02F6" w:rsidP="00DF02F6">
      <w:pPr>
        <w:ind w:left="1800"/>
        <w:jc w:val="both"/>
        <w:rPr>
          <w:rFonts w:asciiTheme="majorHAnsi" w:hAnsiTheme="majorHAnsi" w:cstheme="majorHAnsi"/>
          <w:sz w:val="22"/>
          <w:szCs w:val="22"/>
          <w:lang w:val="cs-CZ"/>
        </w:rPr>
      </w:pPr>
      <w:r w:rsidRPr="008710B0">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523E76" w:rsidRDefault="00DF02F6" w:rsidP="008710B0">
      <w:pPr>
        <w:ind w:left="0"/>
        <w:jc w:val="both"/>
        <w:rPr>
          <w:rFonts w:asciiTheme="majorHAnsi" w:hAnsiTheme="majorHAnsi" w:cstheme="majorHAnsi"/>
          <w:lang w:val="cs-CZ"/>
        </w:rPr>
      </w:pPr>
    </w:p>
    <w:p w14:paraId="1C43429B"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3B11911C"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zkouškách dlouhodobé stability a provozní stálosti</w:t>
      </w:r>
    </w:p>
    <w:p w14:paraId="2BF8A36F"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02F13EBC"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D4041">
        <w:rPr>
          <w:rFonts w:asciiTheme="majorHAnsi" w:hAnsiTheme="majorHAnsi" w:cstheme="majorHAnsi"/>
          <w:sz w:val="22"/>
          <w:szCs w:val="22"/>
          <w:lang w:val="cs-CZ"/>
        </w:rPr>
        <w:t xml:space="preserve">životnosti uvedené </w:t>
      </w:r>
      <w:r w:rsidR="002D4041" w:rsidRPr="00EB38E3">
        <w:rPr>
          <w:rFonts w:asciiTheme="majorHAnsi" w:hAnsiTheme="majorHAnsi" w:cstheme="majorHAnsi"/>
          <w:sz w:val="22"/>
          <w:szCs w:val="22"/>
          <w:lang w:val="cs-CZ"/>
        </w:rPr>
        <w:t>v čl. 5, odst. 2,</w:t>
      </w:r>
      <w:r w:rsidR="002D4041">
        <w:rPr>
          <w:rFonts w:asciiTheme="majorHAnsi" w:hAnsiTheme="majorHAnsi" w:cstheme="majorHAnsi"/>
          <w:sz w:val="22"/>
          <w:szCs w:val="22"/>
          <w:lang w:val="cs-CZ"/>
        </w:rPr>
        <w:t xml:space="preserve"> </w:t>
      </w:r>
      <w:r w:rsidR="002A2A0D" w:rsidRPr="00F81DEC">
        <w:rPr>
          <w:rFonts w:asciiTheme="majorHAnsi" w:hAnsiTheme="majorHAnsi" w:cstheme="majorHAnsi"/>
          <w:sz w:val="22"/>
          <w:szCs w:val="22"/>
          <w:lang w:val="cs-CZ"/>
        </w:rPr>
        <w:t xml:space="preserve">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77FFD322" w14:textId="77777777" w:rsidR="00256182" w:rsidRDefault="00256182" w:rsidP="00256182">
      <w:pPr>
        <w:ind w:left="0"/>
        <w:jc w:val="both"/>
        <w:rPr>
          <w:rFonts w:asciiTheme="majorHAnsi" w:hAnsiTheme="majorHAnsi" w:cstheme="majorHAnsi"/>
          <w:sz w:val="22"/>
          <w:szCs w:val="22"/>
          <w:lang w:val="cs-CZ"/>
        </w:rPr>
      </w:pPr>
    </w:p>
    <w:p w14:paraId="5E5973DD" w14:textId="77777777" w:rsidR="00256182" w:rsidRDefault="00256182" w:rsidP="00256182">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28BECF16" w14:textId="77777777" w:rsidR="00256182" w:rsidRDefault="00256182" w:rsidP="00256182">
      <w:pPr>
        <w:pStyle w:val="Odstavecseseznamem"/>
        <w:ind w:left="567"/>
        <w:jc w:val="both"/>
        <w:rPr>
          <w:rFonts w:asciiTheme="majorHAnsi" w:hAnsiTheme="majorHAnsi" w:cstheme="majorHAnsi"/>
        </w:rPr>
      </w:pPr>
    </w:p>
    <w:p w14:paraId="3B1B44C0" w14:textId="77777777" w:rsidR="00256182" w:rsidRPr="00A30840" w:rsidRDefault="00256182" w:rsidP="00256182">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02957B6" w14:textId="77777777" w:rsidR="00256182" w:rsidRPr="00A30840" w:rsidRDefault="00256182" w:rsidP="00256182">
      <w:pPr>
        <w:pStyle w:val="Odstavecseseznamem"/>
        <w:ind w:left="567" w:hanging="567"/>
        <w:jc w:val="both"/>
        <w:rPr>
          <w:rFonts w:asciiTheme="majorHAnsi" w:hAnsiTheme="majorHAnsi" w:cstheme="majorHAnsi"/>
        </w:rPr>
      </w:pPr>
    </w:p>
    <w:p w14:paraId="6D16B269" w14:textId="77777777" w:rsidR="00256182" w:rsidRPr="00A30840" w:rsidRDefault="00256182" w:rsidP="00256182">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1AC7696C" w14:textId="77777777" w:rsidR="00256182" w:rsidRPr="00007707" w:rsidRDefault="00256182" w:rsidP="00256182">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smlouvy dolož</w:t>
      </w:r>
      <w:r>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Prodávající oprávnění</w:t>
      </w:r>
      <w:r>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Pr>
          <w:rFonts w:asciiTheme="majorHAnsi" w:eastAsia="Times New Roman" w:hAnsiTheme="majorHAnsi" w:cstheme="majorHAnsi"/>
          <w:b/>
          <w:bCs/>
          <w:sz w:val="22"/>
          <w:szCs w:val="22"/>
          <w:lang w:val="cs-CZ" w:eastAsia="cs-CZ"/>
        </w:rPr>
        <w:t xml:space="preserve">v rámci nabídky k veřejné zakázce –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154DA256" w14:textId="77777777" w:rsidR="00256182" w:rsidRDefault="00256182" w:rsidP="00256182">
      <w:pPr>
        <w:ind w:left="0"/>
        <w:jc w:val="both"/>
        <w:rPr>
          <w:rFonts w:asciiTheme="majorHAnsi" w:hAnsiTheme="majorHAnsi" w:cstheme="majorHAnsi"/>
          <w:sz w:val="22"/>
          <w:szCs w:val="22"/>
          <w:lang w:val="cs-CZ"/>
        </w:rPr>
      </w:pPr>
    </w:p>
    <w:p w14:paraId="06EAE0A6" w14:textId="77777777" w:rsidR="005962B1" w:rsidRPr="00F52EFA" w:rsidRDefault="005962B1" w:rsidP="00F52EFA">
      <w:pPr>
        <w:ind w:left="1440"/>
        <w:jc w:val="both"/>
        <w:rPr>
          <w:rFonts w:asciiTheme="majorHAnsi" w:hAnsiTheme="majorHAnsi" w:cstheme="majorHAnsi"/>
          <w:strike/>
          <w:sz w:val="22"/>
          <w:szCs w:val="22"/>
          <w:lang w:val="cs-CZ"/>
        </w:rPr>
      </w:pP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2F00F812" w14:textId="66B90E65" w:rsidR="0087605B" w:rsidRPr="0087605B" w:rsidRDefault="008F130E" w:rsidP="007273BB">
      <w:pPr>
        <w:pStyle w:val="Odstavecseseznamem"/>
        <w:spacing w:before="120"/>
        <w:ind w:left="426"/>
        <w:jc w:val="both"/>
        <w:rPr>
          <w:rFonts w:asciiTheme="majorHAnsi" w:hAnsiTheme="majorHAnsi" w:cstheme="majorHAnsi"/>
        </w:rPr>
      </w:pPr>
      <w:r w:rsidRPr="00AD1054">
        <w:rPr>
          <w:rFonts w:asciiTheme="majorHAnsi" w:hAnsiTheme="majorHAnsi" w:cstheme="majorHAnsi"/>
          <w:b/>
        </w:rPr>
        <w:t>Zboží:</w:t>
      </w:r>
      <w:r w:rsidR="00F60BD0" w:rsidRPr="00AD1054">
        <w:rPr>
          <w:rFonts w:asciiTheme="majorHAnsi" w:hAnsiTheme="majorHAnsi" w:cstheme="majorHAnsi"/>
          <w:b/>
        </w:rPr>
        <w:t xml:space="preserve"> </w:t>
      </w:r>
      <w:r w:rsidR="007273BB" w:rsidRPr="007273BB">
        <w:rPr>
          <w:rFonts w:asciiTheme="majorHAnsi" w:hAnsiTheme="majorHAnsi" w:cstheme="majorHAnsi"/>
          <w:b/>
        </w:rPr>
        <w:t xml:space="preserve">Přístroj na screening diabetické retinopatie </w:t>
      </w:r>
      <w:r w:rsidR="00F60BD0" w:rsidRPr="008A23D0">
        <w:rPr>
          <w:rFonts w:asciiTheme="majorHAnsi" w:hAnsiTheme="majorHAnsi" w:cstheme="majorHAnsi"/>
          <w:b/>
        </w:rPr>
        <w:t xml:space="preserve">– </w:t>
      </w:r>
      <w:r w:rsidR="008A23D0" w:rsidRPr="008A23D0">
        <w:rPr>
          <w:rFonts w:asciiTheme="majorHAnsi" w:hAnsiTheme="majorHAnsi" w:cstheme="majorHAnsi"/>
          <w:b/>
        </w:rPr>
        <w:t xml:space="preserve">1 </w:t>
      </w:r>
      <w:r w:rsidR="00F60BD0" w:rsidRPr="008A23D0">
        <w:rPr>
          <w:rFonts w:asciiTheme="majorHAnsi" w:hAnsiTheme="majorHAnsi" w:cstheme="majorHAnsi"/>
          <w:b/>
        </w:rPr>
        <w:t>ks</w:t>
      </w:r>
      <w:r w:rsidR="0087605B">
        <w:rPr>
          <w:rFonts w:asciiTheme="majorHAnsi" w:hAnsiTheme="majorHAnsi" w:cstheme="majorHAnsi"/>
          <w:b/>
        </w:rPr>
        <w:t xml:space="preserve">, </w:t>
      </w:r>
    </w:p>
    <w:p w14:paraId="6662E9CB" w14:textId="7EA5858A" w:rsidR="008F130E" w:rsidRPr="00AD1054" w:rsidRDefault="0087605B" w:rsidP="007273BB">
      <w:pPr>
        <w:pStyle w:val="Odstavecseseznamem"/>
        <w:spacing w:before="120"/>
        <w:ind w:left="426"/>
        <w:jc w:val="both"/>
        <w:rPr>
          <w:rFonts w:asciiTheme="majorHAnsi" w:hAnsiTheme="majorHAnsi" w:cstheme="majorHAnsi"/>
        </w:rPr>
      </w:pPr>
      <w:r w:rsidRPr="0087605B">
        <w:rPr>
          <w:rFonts w:asciiTheme="majorHAnsi" w:hAnsiTheme="majorHAnsi" w:cstheme="majorHAnsi"/>
          <w:b/>
          <w:highlight w:val="yellow"/>
        </w:rPr>
        <w:t>typové označení ………….., výrobce ……………</w:t>
      </w:r>
    </w:p>
    <w:p w14:paraId="7BB00329" w14:textId="77777777" w:rsidR="008F130E" w:rsidRPr="00AD1054" w:rsidRDefault="008F130E" w:rsidP="008F130E">
      <w:pPr>
        <w:tabs>
          <w:tab w:val="num" w:pos="426"/>
        </w:tabs>
        <w:spacing w:before="120"/>
        <w:ind w:left="425"/>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Cena celkem bez DPH:</w:t>
      </w:r>
      <w:r w:rsidRPr="00AD1054">
        <w:rPr>
          <w:rFonts w:asciiTheme="majorHAnsi" w:hAnsiTheme="majorHAnsi" w:cstheme="majorHAnsi"/>
          <w:sz w:val="22"/>
          <w:szCs w:val="22"/>
          <w:lang w:val="cs-CZ"/>
        </w:rPr>
        <w:tab/>
      </w:r>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Kč</w:t>
      </w:r>
    </w:p>
    <w:p w14:paraId="2A7623BF" w14:textId="77777777" w:rsidR="008F130E" w:rsidRPr="00AD1054" w:rsidRDefault="008F130E" w:rsidP="008F130E">
      <w:pPr>
        <w:tabs>
          <w:tab w:val="num" w:pos="426"/>
        </w:tabs>
        <w:ind w:left="426"/>
        <w:jc w:val="both"/>
        <w:rPr>
          <w:rFonts w:asciiTheme="majorHAnsi" w:hAnsiTheme="majorHAnsi" w:cstheme="majorHAnsi"/>
          <w:sz w:val="22"/>
          <w:szCs w:val="22"/>
          <w:lang w:val="cs-CZ"/>
        </w:rPr>
      </w:pPr>
      <w:r w:rsidRPr="00AD1054">
        <w:rPr>
          <w:rFonts w:asciiTheme="majorHAnsi" w:hAnsiTheme="majorHAnsi" w:cstheme="majorHAnsi"/>
          <w:sz w:val="22"/>
          <w:szCs w:val="22"/>
          <w:lang w:val="cs-CZ"/>
        </w:rPr>
        <w:t>DPH (</w:t>
      </w:r>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w:t>
      </w:r>
      <w:r w:rsidRPr="00AD1054">
        <w:rPr>
          <w:rFonts w:asciiTheme="majorHAnsi" w:hAnsiTheme="majorHAnsi" w:cstheme="majorHAnsi"/>
          <w:sz w:val="22"/>
          <w:szCs w:val="22"/>
          <w:lang w:val="cs-CZ"/>
        </w:rPr>
        <w:tab/>
      </w:r>
      <w:r w:rsidRPr="00AD1054">
        <w:rPr>
          <w:rFonts w:asciiTheme="majorHAnsi" w:hAnsiTheme="majorHAnsi" w:cstheme="majorHAnsi"/>
          <w:sz w:val="22"/>
          <w:szCs w:val="22"/>
          <w:lang w:val="cs-CZ"/>
        </w:rPr>
        <w:tab/>
      </w:r>
      <w:r w:rsidRPr="00AD1054">
        <w:rPr>
          <w:rFonts w:asciiTheme="majorHAnsi" w:hAnsiTheme="majorHAnsi" w:cstheme="majorHAnsi"/>
          <w:sz w:val="22"/>
          <w:szCs w:val="22"/>
          <w:highlight w:val="yellow"/>
          <w:lang w:val="cs-CZ"/>
        </w:rPr>
        <w:t>........................</w:t>
      </w:r>
      <w:r w:rsidRPr="00AD1054">
        <w:rPr>
          <w:rFonts w:asciiTheme="majorHAnsi" w:hAnsiTheme="majorHAnsi" w:cstheme="majorHAnsi"/>
          <w:sz w:val="22"/>
          <w:szCs w:val="22"/>
          <w:lang w:val="cs-CZ"/>
        </w:rPr>
        <w:t>,- Kč</w:t>
      </w:r>
    </w:p>
    <w:p w14:paraId="114626F0" w14:textId="5DFD87A2" w:rsidR="008F130E" w:rsidRPr="00AD1054" w:rsidRDefault="008F130E" w:rsidP="008F130E">
      <w:pPr>
        <w:tabs>
          <w:tab w:val="num" w:pos="426"/>
        </w:tabs>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Cena včetně DPH:</w:t>
      </w:r>
      <w:r w:rsidRPr="00AD1054">
        <w:rPr>
          <w:rFonts w:asciiTheme="majorHAnsi" w:hAnsiTheme="majorHAnsi" w:cstheme="majorHAnsi"/>
          <w:b/>
          <w:sz w:val="22"/>
          <w:szCs w:val="22"/>
          <w:lang w:val="cs-CZ"/>
        </w:rPr>
        <w:tab/>
      </w:r>
      <w:r w:rsidR="00AD1054" w:rsidRPr="00AD1054">
        <w:rPr>
          <w:rFonts w:asciiTheme="majorHAnsi" w:hAnsiTheme="majorHAnsi" w:cstheme="majorHAnsi"/>
          <w:b/>
          <w:sz w:val="22"/>
          <w:szCs w:val="22"/>
          <w:lang w:val="cs-CZ"/>
        </w:rPr>
        <w:tab/>
      </w:r>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 Kč</w:t>
      </w:r>
    </w:p>
    <w:p w14:paraId="4DA91B02" w14:textId="4D27FFA0" w:rsidR="008A23D0" w:rsidRDefault="008F130E" w:rsidP="007273BB">
      <w:pPr>
        <w:tabs>
          <w:tab w:val="num" w:pos="426"/>
        </w:tabs>
        <w:spacing w:after="120"/>
        <w:ind w:left="426"/>
        <w:jc w:val="both"/>
        <w:rPr>
          <w:rFonts w:asciiTheme="majorHAnsi" w:hAnsiTheme="majorHAnsi" w:cstheme="majorHAnsi"/>
          <w:b/>
          <w:sz w:val="22"/>
          <w:szCs w:val="22"/>
          <w:lang w:val="cs-CZ"/>
        </w:rPr>
      </w:pPr>
      <w:r w:rsidRPr="00AD1054">
        <w:rPr>
          <w:rFonts w:asciiTheme="majorHAnsi" w:hAnsiTheme="majorHAnsi" w:cstheme="majorHAnsi"/>
          <w:b/>
          <w:sz w:val="22"/>
          <w:szCs w:val="22"/>
          <w:lang w:val="cs-CZ"/>
        </w:rPr>
        <w:t xml:space="preserve">(slovy: </w:t>
      </w:r>
      <w:r w:rsidRPr="00AD1054">
        <w:rPr>
          <w:rFonts w:asciiTheme="majorHAnsi" w:hAnsiTheme="majorHAnsi" w:cstheme="majorHAnsi"/>
          <w:b/>
          <w:sz w:val="22"/>
          <w:szCs w:val="22"/>
          <w:highlight w:val="yellow"/>
          <w:lang w:val="cs-CZ"/>
        </w:rPr>
        <w:t>...........................................................</w:t>
      </w:r>
      <w:r w:rsidRPr="00AD1054">
        <w:rPr>
          <w:rFonts w:asciiTheme="majorHAnsi" w:hAnsiTheme="majorHAnsi" w:cstheme="majorHAnsi"/>
          <w:b/>
          <w:sz w:val="22"/>
          <w:szCs w:val="22"/>
          <w:lang w:val="cs-CZ"/>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3C96795"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783EF2">
          <w:rPr>
            <w:rStyle w:val="Hypertextovodkaz"/>
            <w:rFonts w:asciiTheme="majorHAnsi" w:eastAsia="Times New Roman" w:hAnsiTheme="majorHAnsi" w:cstheme="majorHAnsi"/>
            <w:iCs/>
            <w:sz w:val="22"/>
            <w:szCs w:val="22"/>
            <w:lang w:val="cs-CZ" w:eastAsia="cs-CZ"/>
          </w:rPr>
          <w:t>fakturace@nemkyj.cz</w:t>
        </w:r>
      </w:hyperlink>
      <w:r w:rsidR="00AD1054">
        <w:rPr>
          <w:rFonts w:asciiTheme="majorHAnsi" w:eastAsia="Times New Roman" w:hAnsiTheme="majorHAnsi" w:cstheme="majorHAnsi"/>
          <w:iCs/>
          <w:sz w:val="22"/>
          <w:szCs w:val="22"/>
          <w:lang w:val="cs-CZ" w:eastAsia="cs-CZ"/>
        </w:rPr>
        <w:t xml:space="preserve">. </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lastRenderedPageBreak/>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BD5E913"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B054D9">
        <w:rPr>
          <w:rFonts w:asciiTheme="majorHAnsi" w:eastAsia="Times New Roman" w:hAnsiTheme="majorHAnsi" w:cstheme="majorHAnsi"/>
          <w:b/>
          <w:u w:val="single"/>
          <w:lang w:eastAsia="cs-CZ"/>
        </w:rPr>
        <w:t>do</w:t>
      </w:r>
      <w:r w:rsidR="002E10A8" w:rsidRPr="00B054D9">
        <w:rPr>
          <w:rFonts w:asciiTheme="majorHAnsi" w:eastAsia="Times New Roman" w:hAnsiTheme="majorHAnsi" w:cstheme="majorHAnsi"/>
          <w:b/>
          <w:u w:val="single"/>
          <w:lang w:eastAsia="cs-CZ"/>
        </w:rPr>
        <w:t xml:space="preserve"> </w:t>
      </w:r>
      <w:r w:rsidR="00B054D9" w:rsidRPr="00B054D9">
        <w:rPr>
          <w:rFonts w:asciiTheme="majorHAnsi" w:eastAsia="Times New Roman" w:hAnsiTheme="majorHAnsi" w:cstheme="majorHAnsi"/>
          <w:b/>
          <w:u w:val="single"/>
          <w:lang w:eastAsia="cs-CZ"/>
        </w:rPr>
        <w:t>4</w:t>
      </w:r>
      <w:r w:rsidR="002F10C2" w:rsidRPr="00B054D9">
        <w:rPr>
          <w:rFonts w:asciiTheme="majorHAnsi" w:eastAsia="Times New Roman" w:hAnsiTheme="majorHAnsi" w:cstheme="majorHAnsi"/>
          <w:b/>
          <w:u w:val="single"/>
          <w:lang w:eastAsia="cs-CZ"/>
        </w:rPr>
        <w:t xml:space="preserve"> </w:t>
      </w:r>
      <w:r w:rsidR="00B054D9" w:rsidRPr="00B054D9">
        <w:rPr>
          <w:rFonts w:asciiTheme="majorHAnsi" w:eastAsia="Times New Roman" w:hAnsiTheme="majorHAnsi" w:cstheme="majorHAnsi"/>
          <w:b/>
          <w:u w:val="single"/>
          <w:lang w:eastAsia="cs-CZ"/>
        </w:rPr>
        <w:t>tý</w:t>
      </w:r>
      <w:r w:rsidR="00B03E0D" w:rsidRPr="00B054D9">
        <w:rPr>
          <w:rFonts w:asciiTheme="majorHAnsi" w:eastAsia="Times New Roman" w:hAnsiTheme="majorHAnsi" w:cstheme="majorHAnsi"/>
          <w:b/>
          <w:u w:val="single"/>
          <w:lang w:eastAsia="cs-CZ"/>
        </w:rPr>
        <w:t>dn</w:t>
      </w:r>
      <w:r w:rsidR="00950815" w:rsidRPr="00B054D9">
        <w:rPr>
          <w:rFonts w:asciiTheme="majorHAnsi" w:eastAsia="Times New Roman" w:hAnsiTheme="majorHAnsi" w:cstheme="majorHAnsi"/>
          <w:b/>
          <w:u w:val="single"/>
          <w:lang w:eastAsia="cs-CZ"/>
        </w:rPr>
        <w:t>ů</w:t>
      </w:r>
      <w:r w:rsidR="00950815" w:rsidRPr="00B054D9">
        <w:rPr>
          <w:rFonts w:asciiTheme="majorHAnsi" w:eastAsia="Times New Roman" w:hAnsiTheme="majorHAnsi" w:cstheme="majorHAnsi"/>
          <w:b/>
          <w:lang w:eastAsia="cs-CZ"/>
        </w:rPr>
        <w:t xml:space="preserve"> od</w:t>
      </w:r>
      <w:r w:rsidR="00B03E0D" w:rsidRPr="00B054D9">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30A7B990" w14:textId="2330D456" w:rsidR="008A23D0" w:rsidRPr="008A23D0" w:rsidRDefault="008F130E" w:rsidP="008A23D0">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7273BB" w:rsidRPr="007273BB">
        <w:rPr>
          <w:rFonts w:asciiTheme="majorHAnsi" w:eastAsia="Times New Roman" w:hAnsiTheme="majorHAnsi" w:cstheme="majorHAnsi"/>
          <w:lang w:eastAsia="cs-CZ"/>
        </w:rPr>
        <w:t>Diabetologická ambulance (Pavilon L2) v areálu Nemocnice Kyjov, Strážovská 1247/22, 697 01 Kyjov</w:t>
      </w:r>
    </w:p>
    <w:p w14:paraId="02174124" w14:textId="77777777" w:rsidR="003D586C" w:rsidRPr="00523E76" w:rsidRDefault="003D586C" w:rsidP="007273BB">
      <w:pPr>
        <w:ind w:left="0"/>
        <w:rPr>
          <w:rFonts w:asciiTheme="majorHAnsi" w:hAnsiTheme="majorHAnsi" w:cstheme="majorHAnsi"/>
          <w:lang w:val="cs-CZ"/>
        </w:rPr>
      </w:pPr>
    </w:p>
    <w:p w14:paraId="71F66AFE" w14:textId="129EA3C1" w:rsidR="006549D0" w:rsidRPr="007273BB"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486A0290" w14:textId="77777777" w:rsidR="007273BB" w:rsidRPr="00523E76" w:rsidRDefault="007273BB" w:rsidP="007273BB">
      <w:pPr>
        <w:ind w:left="0"/>
        <w:jc w:val="both"/>
        <w:rPr>
          <w:rFonts w:asciiTheme="majorHAnsi" w:eastAsia="Times New Roman" w:hAnsiTheme="majorHAnsi" w:cstheme="majorHAnsi"/>
          <w:lang w:val="cs-CZ" w:eastAsia="cs-CZ"/>
        </w:rPr>
      </w:pPr>
    </w:p>
    <w:p w14:paraId="08263976" w14:textId="77777777" w:rsidR="007273BB" w:rsidRPr="00523E76" w:rsidRDefault="007273BB" w:rsidP="007273BB">
      <w:pPr>
        <w:ind w:left="0"/>
        <w:jc w:val="both"/>
        <w:rPr>
          <w:rFonts w:asciiTheme="majorHAnsi" w:eastAsia="Times New Roman" w:hAnsiTheme="majorHAnsi" w:cstheme="majorHAnsi"/>
          <w:lang w:val="cs-CZ" w:eastAsia="cs-CZ"/>
        </w:rPr>
      </w:pP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lastRenderedPageBreak/>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 xml:space="preserve">Životnost zboží je stanovena do: </w:t>
      </w:r>
      <w:r w:rsidR="000D79BC" w:rsidRPr="00AD1054">
        <w:rPr>
          <w:rFonts w:asciiTheme="majorHAnsi" w:hAnsiTheme="majorHAnsi" w:cstheme="majorHAnsi"/>
          <w:sz w:val="22"/>
          <w:szCs w:val="22"/>
          <w:highlight w:val="yellow"/>
          <w:lang w:val="cs-CZ"/>
        </w:rPr>
        <w:t>……………………………</w:t>
      </w:r>
      <w:r w:rsidR="009E3521">
        <w:rPr>
          <w:rFonts w:asciiTheme="majorHAnsi" w:hAnsiTheme="majorHAnsi" w:cstheme="majorHAnsi"/>
          <w:sz w:val="22"/>
          <w:szCs w:val="22"/>
          <w:lang w:val="cs-CZ"/>
        </w:rPr>
        <w:t xml:space="preserve"> </w:t>
      </w:r>
    </w:p>
    <w:p w14:paraId="4E3B843E" w14:textId="07196923" w:rsidR="000D79BC" w:rsidRPr="000D79BC" w:rsidRDefault="000D79BC" w:rsidP="000D79BC">
      <w:pPr>
        <w:ind w:left="0"/>
        <w:rPr>
          <w:rFonts w:asciiTheme="majorHAnsi" w:eastAsia="Times New Roman" w:hAnsiTheme="majorHAnsi" w:cstheme="majorHAnsi"/>
          <w:lang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w:t>
      </w:r>
      <w:r w:rsidRPr="00883040">
        <w:rPr>
          <w:rFonts w:asciiTheme="majorHAnsi" w:eastAsia="Times New Roman" w:hAnsiTheme="majorHAnsi" w:cstheme="majorHAnsi"/>
          <w:lang w:eastAsia="cs-CZ"/>
        </w:rPr>
        <w:lastRenderedPageBreak/>
        <w:t xml:space="preserve">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5112492"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DE73CD" w:rsidRPr="008D789A">
        <w:rPr>
          <w:rFonts w:asciiTheme="majorHAnsi" w:hAnsiTheme="majorHAnsi" w:cstheme="majorHAnsi"/>
          <w:sz w:val="22"/>
          <w:szCs w:val="22"/>
          <w:lang w:val="cs-CZ"/>
        </w:rPr>
        <w:t>8</w:t>
      </w:r>
      <w:r w:rsidR="00907534" w:rsidRPr="008D789A">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651A6292"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r w:rsidRPr="009E3521">
        <w:rPr>
          <w:rFonts w:asciiTheme="majorHAnsi" w:eastAsia="Times New Roman" w:hAnsiTheme="majorHAnsi" w:cstheme="majorHAnsi"/>
          <w:highlight w:val="yellow"/>
          <w:lang w:eastAsia="cs-CZ"/>
        </w:rPr>
        <w:t>…</w:t>
      </w:r>
      <w:r w:rsidR="001262B5">
        <w:rPr>
          <w:rFonts w:asciiTheme="majorHAnsi" w:eastAsia="Times New Roman" w:hAnsiTheme="majorHAnsi" w:cstheme="majorHAnsi"/>
          <w:highlight w:val="yellow"/>
          <w:lang w:eastAsia="cs-CZ"/>
        </w:rPr>
        <w:t>……….</w:t>
      </w:r>
      <w:r w:rsidRPr="001262B5">
        <w:rPr>
          <w:rFonts w:asciiTheme="majorHAnsi" w:eastAsia="Times New Roman" w:hAnsiTheme="majorHAnsi" w:cstheme="majorHAnsi"/>
          <w:lang w:eastAsia="cs-CZ"/>
        </w:rPr>
        <w:t xml:space="preserve"> </w:t>
      </w:r>
      <w:r>
        <w:rPr>
          <w:rFonts w:asciiTheme="majorHAnsi" w:eastAsia="Times New Roman" w:hAnsiTheme="majorHAnsi" w:cstheme="majorHAnsi"/>
          <w:lang w:eastAsia="cs-CZ"/>
        </w:rPr>
        <w:t xml:space="preserve">Kč bez DPH, kilometrovné </w:t>
      </w:r>
      <w:r w:rsidR="001262B5" w:rsidRPr="001262B5">
        <w:rPr>
          <w:rFonts w:asciiTheme="majorHAnsi" w:eastAsia="Times New Roman" w:hAnsiTheme="majorHAnsi" w:cstheme="majorHAnsi"/>
          <w:highlight w:val="yellow"/>
          <w:lang w:eastAsia="cs-CZ"/>
        </w:rPr>
        <w:t>……..</w:t>
      </w:r>
      <w:r w:rsidRPr="001262B5">
        <w:rPr>
          <w:rFonts w:asciiTheme="majorHAnsi" w:eastAsia="Times New Roman" w:hAnsiTheme="majorHAnsi" w:cstheme="majorHAnsi"/>
          <w:highlight w:val="yellow"/>
          <w:lang w:eastAsia="cs-CZ"/>
        </w:rPr>
        <w:t>…</w:t>
      </w:r>
      <w:r>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w:t>
      </w:r>
      <w:r w:rsidR="006549D0" w:rsidRPr="00883040">
        <w:rPr>
          <w:rFonts w:asciiTheme="majorHAnsi" w:eastAsia="Times New Roman" w:hAnsiTheme="majorHAnsi" w:cstheme="majorHAnsi"/>
          <w:sz w:val="22"/>
          <w:szCs w:val="22"/>
          <w:lang w:val="cs-CZ" w:eastAsia="cs-CZ"/>
        </w:rPr>
        <w:lastRenderedPageBreak/>
        <w:t xml:space="preserve">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B054D9" w:rsidRDefault="003220DA" w:rsidP="003049CF">
      <w:pPr>
        <w:widowControl w:val="0"/>
        <w:numPr>
          <w:ilvl w:val="0"/>
          <w:numId w:val="8"/>
        </w:numPr>
        <w:ind w:left="539" w:hanging="539"/>
        <w:jc w:val="both"/>
        <w:rPr>
          <w:rFonts w:asciiTheme="majorHAnsi" w:hAnsiTheme="majorHAnsi" w:cstheme="majorHAnsi"/>
          <w:sz w:val="22"/>
          <w:szCs w:val="22"/>
          <w:lang w:val="cs-CZ"/>
        </w:rPr>
      </w:pPr>
      <w:r w:rsidRPr="00B054D9">
        <w:rPr>
          <w:rFonts w:asciiTheme="majorHAnsi" w:hAnsiTheme="majorHAnsi" w:cstheme="majorHAnsi"/>
          <w:sz w:val="22"/>
          <w:szCs w:val="22"/>
          <w:lang w:val="cs-CZ"/>
        </w:rPr>
        <w:t>Prodávající</w:t>
      </w:r>
      <w:r w:rsidR="006549D0" w:rsidRPr="00B054D9">
        <w:rPr>
          <w:rFonts w:asciiTheme="majorHAnsi" w:hAnsiTheme="majorHAnsi" w:cstheme="majorHAnsi"/>
          <w:sz w:val="22"/>
          <w:szCs w:val="22"/>
          <w:lang w:val="cs-CZ"/>
        </w:rPr>
        <w:t xml:space="preserve"> může od této smlouvy odstoupit v případě, že přes písemnou výzvu adresovanou </w:t>
      </w:r>
      <w:r w:rsidRPr="00B054D9">
        <w:rPr>
          <w:rFonts w:asciiTheme="majorHAnsi" w:hAnsiTheme="majorHAnsi" w:cstheme="majorHAnsi"/>
          <w:sz w:val="22"/>
          <w:szCs w:val="22"/>
          <w:lang w:val="cs-CZ"/>
        </w:rPr>
        <w:t>Kupující</w:t>
      </w:r>
      <w:r w:rsidR="006549D0" w:rsidRPr="00B054D9">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B054D9"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B054D9" w:rsidRDefault="006549D0" w:rsidP="003049CF">
      <w:pPr>
        <w:widowControl w:val="0"/>
        <w:numPr>
          <w:ilvl w:val="0"/>
          <w:numId w:val="8"/>
        </w:numPr>
        <w:ind w:left="539" w:hanging="539"/>
        <w:jc w:val="both"/>
        <w:rPr>
          <w:rFonts w:asciiTheme="majorHAnsi" w:hAnsiTheme="majorHAnsi" w:cstheme="majorHAnsi"/>
          <w:sz w:val="22"/>
          <w:szCs w:val="22"/>
          <w:lang w:val="cs-CZ"/>
        </w:rPr>
      </w:pPr>
      <w:r w:rsidRPr="00B054D9">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lastRenderedPageBreak/>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49BB784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523E76">
        <w:rPr>
          <w:rFonts w:asciiTheme="majorHAnsi" w:eastAsia="Times New Roman" w:hAnsiTheme="majorHAnsi" w:cstheme="majorHAnsi"/>
          <w:sz w:val="22"/>
          <w:szCs w:val="22"/>
          <w:lang w:val="cs-CZ" w:eastAsia="cs-CZ"/>
        </w:rPr>
        <w:t>9</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330C1E64" w14:textId="04976E1C" w:rsidR="001262B5" w:rsidRPr="00B42B44" w:rsidRDefault="003220DA" w:rsidP="00B42B44">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192585A7"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1262B5">
        <w:rPr>
          <w:rFonts w:asciiTheme="majorHAnsi" w:hAnsiTheme="majorHAnsi" w:cstheme="majorHAnsi"/>
          <w:highlight w:val="yellow"/>
          <w:shd w:val="clear" w:color="auto" w:fill="E7E6E6" w:themeFill="background2"/>
        </w:rPr>
        <w:t>[DOPLNÍ DODAVATEL</w:t>
      </w:r>
      <w:r w:rsidR="00B80641" w:rsidRPr="001262B5">
        <w:rPr>
          <w:rFonts w:asciiTheme="majorHAnsi" w:hAnsiTheme="majorHAnsi" w:cstheme="majorHAnsi"/>
          <w:highlight w:val="yellow"/>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1262B5">
        <w:rPr>
          <w:rFonts w:asciiTheme="majorHAnsi" w:hAnsiTheme="majorHAnsi" w:cstheme="majorHAnsi"/>
          <w:highlight w:val="yellow"/>
          <w:shd w:val="clear" w:color="auto" w:fill="E7E6E6" w:themeFill="background2"/>
        </w:rPr>
        <w:t>[DOPLNÍ DODAVATEL</w:t>
      </w:r>
      <w:r w:rsidR="00B80641" w:rsidRPr="001262B5">
        <w:rPr>
          <w:rFonts w:asciiTheme="majorHAnsi" w:hAnsiTheme="majorHAnsi" w:cstheme="majorHAnsi"/>
          <w:highlight w:val="yellow"/>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1262B5">
        <w:rPr>
          <w:rFonts w:asciiTheme="majorHAnsi" w:hAnsiTheme="majorHAnsi" w:cstheme="majorHAnsi"/>
          <w:highlight w:val="yellow"/>
          <w:shd w:val="clear" w:color="auto" w:fill="E7E6E6" w:themeFill="background2"/>
        </w:rPr>
        <w:t>[</w:t>
      </w:r>
      <w:r w:rsidR="00B80641" w:rsidRPr="001262B5">
        <w:rPr>
          <w:rFonts w:asciiTheme="majorHAnsi" w:hAnsiTheme="majorHAnsi" w:cstheme="majorHAnsi"/>
          <w:highlight w:val="yellow"/>
          <w:shd w:val="clear" w:color="auto" w:fill="E7E6E6" w:themeFill="background2"/>
        </w:rPr>
        <w:t>DOPLN</w:t>
      </w:r>
      <w:r w:rsidR="00A602AB" w:rsidRPr="001262B5">
        <w:rPr>
          <w:rFonts w:asciiTheme="majorHAnsi" w:hAnsiTheme="majorHAnsi" w:cstheme="majorHAnsi"/>
          <w:highlight w:val="yellow"/>
          <w:shd w:val="clear" w:color="auto" w:fill="E7E6E6" w:themeFill="background2"/>
        </w:rPr>
        <w:t>Í DODAVATEL</w:t>
      </w:r>
      <w:r w:rsidR="00B80641" w:rsidRPr="001262B5">
        <w:rPr>
          <w:rFonts w:asciiTheme="majorHAnsi" w:hAnsiTheme="majorHAnsi" w:cstheme="majorHAnsi"/>
          <w:highlight w:val="yellow"/>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1262B5">
        <w:rPr>
          <w:rFonts w:asciiTheme="majorHAnsi" w:hAnsiTheme="majorHAnsi" w:cstheme="majorHAnsi"/>
          <w:highlight w:val="yellow"/>
          <w:shd w:val="clear" w:color="auto" w:fill="E7E6E6" w:themeFill="background2"/>
        </w:rPr>
        <w:t>[</w:t>
      </w:r>
      <w:r w:rsidR="00B80641" w:rsidRPr="001262B5">
        <w:rPr>
          <w:rFonts w:asciiTheme="majorHAnsi" w:hAnsiTheme="majorHAnsi" w:cstheme="majorHAnsi"/>
          <w:highlight w:val="yellow"/>
          <w:shd w:val="clear" w:color="auto" w:fill="E7E6E6" w:themeFill="background2"/>
        </w:rPr>
        <w:t>DOPLN</w:t>
      </w:r>
      <w:r w:rsidR="00A602AB" w:rsidRPr="001262B5">
        <w:rPr>
          <w:rFonts w:asciiTheme="majorHAnsi" w:hAnsiTheme="majorHAnsi" w:cstheme="majorHAnsi"/>
          <w:highlight w:val="yellow"/>
          <w:shd w:val="clear" w:color="auto" w:fill="E7E6E6" w:themeFill="background2"/>
        </w:rPr>
        <w:t>Í DODAVATEL</w:t>
      </w:r>
      <w:r w:rsidR="00B80641" w:rsidRPr="001262B5">
        <w:rPr>
          <w:rFonts w:asciiTheme="majorHAnsi" w:hAnsiTheme="majorHAnsi" w:cstheme="majorHAnsi"/>
          <w:highlight w:val="yellow"/>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w:t>
      </w:r>
      <w:r w:rsidRPr="00883040">
        <w:rPr>
          <w:rFonts w:asciiTheme="majorHAnsi" w:eastAsia="Times New Roman" w:hAnsiTheme="majorHAnsi" w:cstheme="majorHAnsi"/>
          <w:lang w:eastAsia="cs-CZ"/>
        </w:rPr>
        <w:lastRenderedPageBreak/>
        <w:t>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3F5AAEB9" w:rsidR="006549D0" w:rsidRPr="00B44CA6" w:rsidRDefault="007206E0" w:rsidP="009F59AE">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jméno:</w:t>
      </w:r>
      <w:r w:rsidRPr="00B44CA6">
        <w:rPr>
          <w:rFonts w:asciiTheme="majorHAnsi" w:eastAsia="Times New Roman" w:hAnsiTheme="majorHAnsi" w:cstheme="majorHAnsi"/>
          <w:sz w:val="22"/>
          <w:szCs w:val="22"/>
          <w:lang w:val="cs-CZ" w:eastAsia="cs-CZ"/>
        </w:rPr>
        <w:tab/>
      </w:r>
      <w:r w:rsidRPr="00B44CA6">
        <w:rPr>
          <w:rFonts w:asciiTheme="majorHAnsi" w:eastAsia="Times New Roman" w:hAnsiTheme="majorHAnsi" w:cstheme="majorHAnsi"/>
          <w:sz w:val="22"/>
          <w:szCs w:val="22"/>
          <w:lang w:val="cs-CZ" w:eastAsia="cs-CZ"/>
        </w:rPr>
        <w:tab/>
        <w:t xml:space="preserve">            </w:t>
      </w:r>
      <w:r w:rsidR="00E965D5" w:rsidRPr="00B44CA6">
        <w:rPr>
          <w:rFonts w:asciiTheme="majorHAnsi" w:eastAsia="Times New Roman" w:hAnsiTheme="majorHAnsi" w:cstheme="majorHAnsi"/>
          <w:sz w:val="22"/>
          <w:szCs w:val="22"/>
          <w:lang w:val="cs-CZ" w:eastAsia="cs-CZ"/>
        </w:rPr>
        <w:t xml:space="preserve">  </w:t>
      </w:r>
    </w:p>
    <w:p w14:paraId="74F80EC7" w14:textId="77777777" w:rsidR="00D502D4" w:rsidRPr="00B44CA6" w:rsidRDefault="006549D0" w:rsidP="00D502D4">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doručovací adresa:</w:t>
      </w:r>
      <w:r w:rsidRPr="00B44CA6">
        <w:rPr>
          <w:rFonts w:asciiTheme="majorHAnsi" w:eastAsia="Times New Roman" w:hAnsiTheme="majorHAnsi" w:cstheme="majorHAnsi"/>
          <w:sz w:val="22"/>
          <w:szCs w:val="22"/>
          <w:lang w:val="cs-CZ" w:eastAsia="cs-CZ"/>
        </w:rPr>
        <w:tab/>
      </w:r>
      <w:r w:rsidR="00D502D4" w:rsidRPr="00B44CA6">
        <w:rPr>
          <w:rFonts w:asciiTheme="majorHAnsi" w:eastAsia="Times New Roman" w:hAnsiTheme="majorHAnsi" w:cstheme="majorHAnsi"/>
          <w:sz w:val="22"/>
          <w:szCs w:val="22"/>
          <w:lang w:val="cs-CZ" w:eastAsia="cs-CZ"/>
        </w:rPr>
        <w:t>Nemocnice Kyjov, příspěvková organizace</w:t>
      </w:r>
    </w:p>
    <w:p w14:paraId="50147A2F" w14:textId="0D93AA47" w:rsidR="00D502D4" w:rsidRPr="00B44CA6"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bCs/>
          <w:color w:val="000000"/>
          <w:spacing w:val="-3"/>
          <w:sz w:val="22"/>
          <w:szCs w:val="22"/>
          <w:lang w:val="cs-CZ" w:eastAsia="cs-CZ"/>
        </w:rPr>
        <w:t>Strážovská 1247/22, 697 01 Kyjov</w:t>
      </w:r>
    </w:p>
    <w:p w14:paraId="78721D6B" w14:textId="14EDC261" w:rsidR="005B387F" w:rsidRPr="00B44CA6" w:rsidRDefault="006549D0" w:rsidP="00D502D4">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telefon:</w:t>
      </w:r>
      <w:r w:rsidRPr="00B44CA6">
        <w:rPr>
          <w:rFonts w:asciiTheme="majorHAnsi" w:eastAsia="Times New Roman" w:hAnsiTheme="majorHAnsi" w:cstheme="majorHAnsi"/>
          <w:sz w:val="22"/>
          <w:szCs w:val="22"/>
          <w:lang w:val="cs-CZ" w:eastAsia="cs-CZ"/>
        </w:rPr>
        <w:tab/>
      </w:r>
      <w:r w:rsidR="00167852" w:rsidRPr="00B44CA6">
        <w:rPr>
          <w:rFonts w:asciiTheme="majorHAnsi" w:eastAsia="Times New Roman" w:hAnsiTheme="majorHAnsi" w:cstheme="majorHAnsi"/>
          <w:sz w:val="22"/>
          <w:szCs w:val="22"/>
          <w:lang w:val="cs-CZ" w:eastAsia="cs-CZ"/>
        </w:rPr>
        <w:tab/>
      </w:r>
    </w:p>
    <w:p w14:paraId="34F8B91C" w14:textId="77777777"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B44CA6">
        <w:rPr>
          <w:rFonts w:asciiTheme="majorHAnsi" w:eastAsia="Times New Roman" w:hAnsiTheme="majorHAnsi" w:cstheme="majorHAnsi"/>
          <w:sz w:val="22"/>
          <w:szCs w:val="22"/>
          <w:lang w:val="cs-CZ" w:eastAsia="cs-CZ"/>
        </w:rPr>
        <w:t>e</w:t>
      </w:r>
      <w:r w:rsidR="00A7589C" w:rsidRPr="00B44CA6">
        <w:rPr>
          <w:rFonts w:asciiTheme="majorHAnsi" w:eastAsia="Times New Roman" w:hAnsiTheme="majorHAnsi" w:cstheme="majorHAnsi"/>
          <w:sz w:val="22"/>
          <w:szCs w:val="22"/>
          <w:lang w:val="cs-CZ" w:eastAsia="cs-CZ"/>
        </w:rPr>
        <w:t>-</w:t>
      </w:r>
      <w:r w:rsidRPr="00B44CA6">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523E76"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523E76"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523E76"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6BC9BC52" w14:textId="6EEB9B8A" w:rsidR="00B42B44" w:rsidRDefault="00B42B44">
      <w:pPr>
        <w:spacing w:after="160" w:line="259" w:lineRule="auto"/>
        <w:ind w:left="0"/>
        <w:rPr>
          <w:rFonts w:asciiTheme="majorHAnsi" w:hAnsiTheme="majorHAnsi" w:cstheme="majorHAnsi"/>
          <w:b/>
          <w:sz w:val="22"/>
          <w:szCs w:val="22"/>
          <w:lang w:val="cs-CZ"/>
        </w:rPr>
      </w:pPr>
    </w:p>
    <w:p w14:paraId="3F861A27" w14:textId="4067DE58"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Smluvní strany se zavazují nahradit druhé smluvní straně škodu způsobenou porušením povinností vyplývajících pro ně z této smlouvy nebo z příslušných právních předpisů, ledaže se prokáže, že porušení </w:t>
      </w:r>
      <w:r w:rsidRPr="00883040">
        <w:rPr>
          <w:rFonts w:asciiTheme="majorHAnsi" w:hAnsiTheme="majorHAnsi" w:cstheme="majorHAnsi"/>
          <w:sz w:val="22"/>
          <w:szCs w:val="22"/>
          <w:lang w:val="cs-CZ"/>
        </w:rPr>
        <w:lastRenderedPageBreak/>
        <w:t>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76D80878" w14:textId="610A0178" w:rsidR="001262B5" w:rsidRPr="00B42B44" w:rsidRDefault="00AF0806" w:rsidP="00B42B44">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18B1C4CF"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2B1FCA89" w14:textId="725F9937" w:rsidR="006549D0" w:rsidRPr="002D4041" w:rsidRDefault="006549D0" w:rsidP="002D4041">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2D4041">
        <w:rPr>
          <w:rFonts w:asciiTheme="majorHAnsi" w:eastAsia="Times New Roman" w:hAnsiTheme="majorHAnsi" w:cstheme="majorHAnsi"/>
          <w:sz w:val="22"/>
          <w:szCs w:val="22"/>
          <w:lang w:val="cs-CZ" w:eastAsia="cs-CZ"/>
        </w:rPr>
        <w:t xml:space="preserve">. </w:t>
      </w:r>
    </w:p>
    <w:p w14:paraId="350E6382" w14:textId="77777777" w:rsidR="002D4041" w:rsidRPr="00883040" w:rsidRDefault="002D4041" w:rsidP="002D4041">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lastRenderedPageBreak/>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24255786" w14:textId="4CF6C933" w:rsidR="00256182" w:rsidRDefault="00256182">
      <w:pPr>
        <w:spacing w:after="160" w:line="259" w:lineRule="auto"/>
        <w:ind w:left="0"/>
        <w:rPr>
          <w:rFonts w:asciiTheme="majorHAnsi" w:eastAsia="Times New Roman" w:hAnsiTheme="majorHAnsi" w:cstheme="majorHAnsi"/>
          <w:sz w:val="22"/>
          <w:szCs w:val="22"/>
          <w:lang w:val="cs-CZ" w:eastAsia="cs-CZ"/>
        </w:rPr>
      </w:pPr>
    </w:p>
    <w:p w14:paraId="64D2DB9B" w14:textId="5FBB0114"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A70D89">
            <w:pPr>
              <w:widowControl w:val="0"/>
              <w:tabs>
                <w:tab w:val="left" w:pos="540"/>
              </w:tabs>
              <w:ind w:left="10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0"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0"/>
          </w:p>
        </w:tc>
        <w:tc>
          <w:tcPr>
            <w:tcW w:w="4606" w:type="dxa"/>
          </w:tcPr>
          <w:p w14:paraId="129FF159" w14:textId="53957055" w:rsidR="006549D0" w:rsidRPr="00883040" w:rsidRDefault="00D038F6" w:rsidP="00A70D89">
            <w:pPr>
              <w:widowControl w:val="0"/>
              <w:ind w:left="10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1"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1"/>
          </w:p>
        </w:tc>
        <w:tc>
          <w:tcPr>
            <w:tcW w:w="4606" w:type="dxa"/>
          </w:tcPr>
          <w:p w14:paraId="212BA7C9" w14:textId="3A9D2F56" w:rsidR="006549D0" w:rsidRPr="00883040" w:rsidRDefault="00A70D89" w:rsidP="009F59AE">
            <w:pPr>
              <w:widowControl w:val="0"/>
              <w:tabs>
                <w:tab w:val="left" w:pos="540"/>
              </w:tabs>
              <w:ind w:left="0"/>
              <w:rPr>
                <w:rFonts w:asciiTheme="majorHAnsi" w:eastAsia="Times New Roman" w:hAnsiTheme="majorHAnsi" w:cstheme="majorHAnsi"/>
                <w:sz w:val="22"/>
                <w:szCs w:val="22"/>
                <w:lang w:val="cs-CZ" w:eastAsia="cs-CZ"/>
              </w:rPr>
            </w:pPr>
            <w:r w:rsidRPr="00A70D89">
              <w:rPr>
                <w:rFonts w:asciiTheme="majorHAnsi" w:eastAsia="Times New Roman" w:hAnsiTheme="majorHAnsi" w:cstheme="majorHAnsi"/>
                <w:bCs/>
                <w:spacing w:val="-3"/>
                <w:sz w:val="22"/>
                <w:szCs w:val="22"/>
                <w:lang w:val="cs-CZ" w:eastAsia="cs-CZ"/>
              </w:rPr>
              <w:t xml:space="preserve">Ing. Milan Škarka, Ph.D., MBA, </w:t>
            </w:r>
            <w:r w:rsidR="00B616F9" w:rsidRPr="00B616F9">
              <w:rPr>
                <w:rFonts w:asciiTheme="majorHAnsi" w:eastAsia="Times New Roman" w:hAnsiTheme="majorHAnsi" w:cstheme="majorHAnsi"/>
                <w:bCs/>
                <w:spacing w:val="-3"/>
                <w:sz w:val="22"/>
                <w:szCs w:val="22"/>
                <w:lang w:val="cs-CZ" w:eastAsia="cs-CZ"/>
              </w:rPr>
              <w:t>statutární zástupce</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5880" w14:textId="77777777" w:rsidR="008A5B0D" w:rsidRDefault="008A5B0D" w:rsidP="003220DA">
      <w:r>
        <w:separator/>
      </w:r>
    </w:p>
  </w:endnote>
  <w:endnote w:type="continuationSeparator" w:id="0">
    <w:p w14:paraId="419DB1D6" w14:textId="77777777" w:rsidR="008A5B0D" w:rsidRDefault="008A5B0D"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BACE" w14:textId="77777777" w:rsidR="008A5B0D" w:rsidRDefault="008A5B0D" w:rsidP="003220DA">
      <w:r>
        <w:separator/>
      </w:r>
    </w:p>
  </w:footnote>
  <w:footnote w:type="continuationSeparator" w:id="0">
    <w:p w14:paraId="732CCAFE" w14:textId="77777777" w:rsidR="008A5B0D" w:rsidRDefault="008A5B0D"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A16BDB"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A16BDB">
      <w:rPr>
        <w:rFonts w:asciiTheme="majorHAnsi" w:hAnsiTheme="majorHAnsi" w:cstheme="majorHAnsi"/>
        <w:b/>
        <w:lang w:val="cs-CZ"/>
      </w:rPr>
      <w:t>Číslo smlouvy prodávajícího:</w:t>
    </w:r>
    <w:r w:rsidRPr="00A16BDB">
      <w:rPr>
        <w:rFonts w:asciiTheme="majorHAnsi" w:hAnsiTheme="majorHAnsi" w:cstheme="majorHAnsi"/>
        <w:b/>
        <w:lang w:val="cs-CZ"/>
      </w:rPr>
      <w:tab/>
      <w:t xml:space="preserve">                                      Číslo smlouvy kupujícího:</w:t>
    </w:r>
    <w:r w:rsidRPr="00A16BDB">
      <w:rPr>
        <w:rFonts w:asciiTheme="majorHAnsi" w:hAnsiTheme="majorHAnsi" w:cstheme="majorHAnsi"/>
        <w:b/>
        <w:lang w:val="cs-CZ"/>
      </w:rPr>
      <w:tab/>
      <w:t xml:space="preserve">  </w:t>
    </w:r>
  </w:p>
  <w:p w14:paraId="4EDF7BD5" w14:textId="77777777" w:rsidR="0057231D" w:rsidRPr="00A16BDB"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A16BDB" w:rsidRDefault="0057231D" w:rsidP="0057231D">
    <w:pPr>
      <w:pStyle w:val="Zhlav"/>
      <w:tabs>
        <w:tab w:val="clear" w:pos="4536"/>
        <w:tab w:val="left" w:pos="1701"/>
        <w:tab w:val="left" w:pos="2127"/>
      </w:tabs>
      <w:rPr>
        <w:rFonts w:ascii="Arial" w:hAnsi="Arial" w:cs="Arial"/>
        <w:b/>
        <w:sz w:val="16"/>
        <w:szCs w:val="16"/>
        <w:lang w:val="cs-CZ"/>
      </w:rPr>
    </w:pPr>
  </w:p>
  <w:p w14:paraId="6C68D00B" w14:textId="77777777" w:rsidR="007273BB" w:rsidRDefault="0057231D" w:rsidP="007273BB">
    <w:pPr>
      <w:rPr>
        <w:rFonts w:asciiTheme="majorHAnsi" w:hAnsiTheme="majorHAnsi" w:cstheme="majorHAnsi"/>
        <w:bCs/>
        <w:sz w:val="16"/>
        <w:szCs w:val="16"/>
        <w:lang w:val="cs-CZ"/>
      </w:rPr>
    </w:pPr>
    <w:r w:rsidRPr="00A16BDB">
      <w:rPr>
        <w:rFonts w:asciiTheme="majorHAnsi" w:hAnsiTheme="majorHAnsi" w:cstheme="majorHAnsi"/>
        <w:b/>
        <w:sz w:val="16"/>
        <w:szCs w:val="16"/>
        <w:lang w:val="cs-CZ"/>
      </w:rPr>
      <w:t>Název veřejné zakázky</w:t>
    </w:r>
    <w:r w:rsidRPr="00A16BDB">
      <w:rPr>
        <w:rFonts w:asciiTheme="majorHAnsi" w:hAnsiTheme="majorHAnsi" w:cstheme="majorHAnsi"/>
        <w:bCs/>
        <w:sz w:val="16"/>
        <w:szCs w:val="16"/>
        <w:lang w:val="cs-CZ"/>
      </w:rPr>
      <w:t xml:space="preserve">: </w:t>
    </w:r>
    <w:r w:rsidR="004573E8" w:rsidRPr="00A16BDB">
      <w:rPr>
        <w:rFonts w:asciiTheme="majorHAnsi" w:hAnsiTheme="majorHAnsi" w:cstheme="majorHAnsi"/>
        <w:bCs/>
        <w:sz w:val="16"/>
        <w:szCs w:val="16"/>
        <w:lang w:val="cs-CZ"/>
      </w:rPr>
      <w:tab/>
    </w:r>
    <w:r w:rsidR="007273BB" w:rsidRPr="007273BB">
      <w:rPr>
        <w:rFonts w:asciiTheme="majorHAnsi" w:hAnsiTheme="majorHAnsi" w:cstheme="majorHAnsi"/>
        <w:bCs/>
        <w:sz w:val="16"/>
        <w:szCs w:val="16"/>
        <w:lang w:val="cs-CZ"/>
      </w:rPr>
      <w:t xml:space="preserve">Přístroj na screening diabetické retinopatie </w:t>
    </w:r>
  </w:p>
  <w:p w14:paraId="437941C3" w14:textId="2DC6D864" w:rsidR="0057231D" w:rsidRPr="00F52EFA" w:rsidRDefault="0057231D" w:rsidP="007273BB">
    <w:pPr>
      <w:rPr>
        <w:rFonts w:asciiTheme="majorHAnsi" w:hAnsiTheme="majorHAnsi" w:cstheme="majorHAnsi"/>
        <w:sz w:val="16"/>
        <w:szCs w:val="16"/>
        <w:lang w:val="cs-CZ"/>
      </w:rPr>
    </w:pPr>
    <w:r w:rsidRPr="00A16BDB">
      <w:rPr>
        <w:rFonts w:asciiTheme="majorHAnsi" w:hAnsiTheme="majorHAnsi" w:cstheme="majorHAnsi"/>
        <w:b/>
        <w:sz w:val="16"/>
        <w:szCs w:val="16"/>
        <w:lang w:val="cs-CZ"/>
      </w:rPr>
      <w:t xml:space="preserve">Číslo veřejné zakázky: </w:t>
    </w:r>
    <w:r w:rsidR="004573E8" w:rsidRPr="00A16BDB">
      <w:rPr>
        <w:rFonts w:asciiTheme="majorHAnsi" w:hAnsiTheme="majorHAnsi" w:cstheme="majorHAnsi"/>
        <w:b/>
        <w:sz w:val="16"/>
        <w:szCs w:val="16"/>
        <w:lang w:val="cs-CZ"/>
      </w:rPr>
      <w:tab/>
    </w:r>
    <w:r w:rsidR="00A70D89" w:rsidRPr="00A70D89">
      <w:rPr>
        <w:rFonts w:asciiTheme="majorHAnsi" w:hAnsiTheme="majorHAnsi" w:cstheme="majorHAnsi"/>
        <w:b/>
        <w:sz w:val="16"/>
        <w:szCs w:val="16"/>
        <w:lang w:val="cs-CZ"/>
      </w:rPr>
      <w:t>VZ2025</w:t>
    </w:r>
    <w:r w:rsidR="00A70D89">
      <w:rPr>
        <w:rFonts w:asciiTheme="majorHAnsi" w:hAnsiTheme="majorHAnsi" w:cstheme="majorHAnsi"/>
        <w:b/>
        <w:sz w:val="16"/>
        <w:szCs w:val="16"/>
        <w:lang w:val="cs-CZ"/>
      </w:rPr>
      <w:t>59</w:t>
    </w:r>
  </w:p>
  <w:p w14:paraId="748D7E8B" w14:textId="27BE22CB" w:rsidR="0057231D" w:rsidRPr="00F52EFA" w:rsidRDefault="00D34284" w:rsidP="0057231D">
    <w:pPr>
      <w:pStyle w:val="Zhlav"/>
      <w:rPr>
        <w:lang w:val="cs-CZ"/>
      </w:rPr>
    </w:pPr>
    <w:r w:rsidRPr="00F52EFA">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C170E8F"/>
    <w:multiLevelType w:val="hybridMultilevel"/>
    <w:tmpl w:val="4A96D6BA"/>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4"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1B069F"/>
    <w:multiLevelType w:val="hybridMultilevel"/>
    <w:tmpl w:val="52C6D472"/>
    <w:lvl w:ilvl="0" w:tplc="04050017">
      <w:start w:val="1"/>
      <w:numFmt w:val="lowerLetter"/>
      <w:lvlText w:val="%1)"/>
      <w:lvlJc w:val="left"/>
      <w:pPr>
        <w:ind w:left="1146" w:hanging="360"/>
      </w:pPr>
      <w:rPr>
        <w:rFonts w:hint="default"/>
        <w:b/>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6934E3"/>
    <w:multiLevelType w:val="hybridMultilevel"/>
    <w:tmpl w:val="B0E035B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9"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20"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F2044744"/>
    <w:lvl w:ilvl="0" w:tplc="FFFFFFFF">
      <w:start w:val="1"/>
      <w:numFmt w:val="decimal"/>
      <w:lvlText w:val="%1."/>
      <w:lvlJc w:val="left"/>
      <w:pPr>
        <w:tabs>
          <w:tab w:val="num" w:pos="720"/>
        </w:tabs>
        <w:ind w:left="720" w:hanging="360"/>
      </w:pPr>
      <w:rPr>
        <w:rFonts w:hint="default"/>
      </w:rPr>
    </w:lvl>
    <w:lvl w:ilvl="1" w:tplc="6DEA279A">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8E128CB"/>
    <w:multiLevelType w:val="hybridMultilevel"/>
    <w:tmpl w:val="D81C3D6E"/>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AB5675"/>
    <w:multiLevelType w:val="hybridMultilevel"/>
    <w:tmpl w:val="ADEA6886"/>
    <w:lvl w:ilvl="0" w:tplc="F3F8FC90">
      <w:numFmt w:val="bullet"/>
      <w:lvlText w:val="-"/>
      <w:lvlJc w:val="left"/>
      <w:pPr>
        <w:ind w:left="-72" w:hanging="360"/>
      </w:pPr>
      <w:rPr>
        <w:rFonts w:ascii="Calibri" w:eastAsiaTheme="minorHAnsi" w:hAnsi="Calibri" w:cs="Calibri" w:hint="default"/>
      </w:rPr>
    </w:lvl>
    <w:lvl w:ilvl="1" w:tplc="04050003" w:tentative="1">
      <w:start w:val="1"/>
      <w:numFmt w:val="bullet"/>
      <w:lvlText w:val="o"/>
      <w:lvlJc w:val="left"/>
      <w:pPr>
        <w:ind w:left="648" w:hanging="360"/>
      </w:pPr>
      <w:rPr>
        <w:rFonts w:ascii="Courier New" w:hAnsi="Courier New" w:cs="Courier New" w:hint="default"/>
      </w:rPr>
    </w:lvl>
    <w:lvl w:ilvl="2" w:tplc="04050005" w:tentative="1">
      <w:start w:val="1"/>
      <w:numFmt w:val="bullet"/>
      <w:lvlText w:val=""/>
      <w:lvlJc w:val="left"/>
      <w:pPr>
        <w:ind w:left="1368" w:hanging="360"/>
      </w:pPr>
      <w:rPr>
        <w:rFonts w:ascii="Wingdings" w:hAnsi="Wingdings" w:hint="default"/>
      </w:rPr>
    </w:lvl>
    <w:lvl w:ilvl="3" w:tplc="04050001" w:tentative="1">
      <w:start w:val="1"/>
      <w:numFmt w:val="bullet"/>
      <w:lvlText w:val=""/>
      <w:lvlJc w:val="left"/>
      <w:pPr>
        <w:ind w:left="2088" w:hanging="360"/>
      </w:pPr>
      <w:rPr>
        <w:rFonts w:ascii="Symbol" w:hAnsi="Symbol" w:hint="default"/>
      </w:rPr>
    </w:lvl>
    <w:lvl w:ilvl="4" w:tplc="04050003" w:tentative="1">
      <w:start w:val="1"/>
      <w:numFmt w:val="bullet"/>
      <w:lvlText w:val="o"/>
      <w:lvlJc w:val="left"/>
      <w:pPr>
        <w:ind w:left="2808" w:hanging="360"/>
      </w:pPr>
      <w:rPr>
        <w:rFonts w:ascii="Courier New" w:hAnsi="Courier New" w:cs="Courier New" w:hint="default"/>
      </w:rPr>
    </w:lvl>
    <w:lvl w:ilvl="5" w:tplc="04050005" w:tentative="1">
      <w:start w:val="1"/>
      <w:numFmt w:val="bullet"/>
      <w:lvlText w:val=""/>
      <w:lvlJc w:val="left"/>
      <w:pPr>
        <w:ind w:left="3528" w:hanging="360"/>
      </w:pPr>
      <w:rPr>
        <w:rFonts w:ascii="Wingdings" w:hAnsi="Wingdings" w:hint="default"/>
      </w:rPr>
    </w:lvl>
    <w:lvl w:ilvl="6" w:tplc="04050001" w:tentative="1">
      <w:start w:val="1"/>
      <w:numFmt w:val="bullet"/>
      <w:lvlText w:val=""/>
      <w:lvlJc w:val="left"/>
      <w:pPr>
        <w:ind w:left="4248" w:hanging="360"/>
      </w:pPr>
      <w:rPr>
        <w:rFonts w:ascii="Symbol" w:hAnsi="Symbol" w:hint="default"/>
      </w:rPr>
    </w:lvl>
    <w:lvl w:ilvl="7" w:tplc="04050003" w:tentative="1">
      <w:start w:val="1"/>
      <w:numFmt w:val="bullet"/>
      <w:lvlText w:val="o"/>
      <w:lvlJc w:val="left"/>
      <w:pPr>
        <w:ind w:left="4968" w:hanging="360"/>
      </w:pPr>
      <w:rPr>
        <w:rFonts w:ascii="Courier New" w:hAnsi="Courier New" w:cs="Courier New" w:hint="default"/>
      </w:rPr>
    </w:lvl>
    <w:lvl w:ilvl="8" w:tplc="04050005" w:tentative="1">
      <w:start w:val="1"/>
      <w:numFmt w:val="bullet"/>
      <w:lvlText w:val=""/>
      <w:lvlJc w:val="left"/>
      <w:pPr>
        <w:ind w:left="5688" w:hanging="360"/>
      </w:pPr>
      <w:rPr>
        <w:rFonts w:ascii="Wingdings" w:hAnsi="Wingdings" w:hint="default"/>
      </w:rPr>
    </w:lvl>
  </w:abstractNum>
  <w:abstractNum w:abstractNumId="49"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9"/>
  </w:num>
  <w:num w:numId="3" w16cid:durableId="243998190">
    <w:abstractNumId w:val="18"/>
  </w:num>
  <w:num w:numId="4" w16cid:durableId="2140418606">
    <w:abstractNumId w:val="30"/>
  </w:num>
  <w:num w:numId="5" w16cid:durableId="1472092345">
    <w:abstractNumId w:val="34"/>
  </w:num>
  <w:num w:numId="6" w16cid:durableId="632247889">
    <w:abstractNumId w:val="0"/>
  </w:num>
  <w:num w:numId="7" w16cid:durableId="1483697444">
    <w:abstractNumId w:val="25"/>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6"/>
  </w:num>
  <w:num w:numId="13" w16cid:durableId="1146320241">
    <w:abstractNumId w:val="26"/>
  </w:num>
  <w:num w:numId="14" w16cid:durableId="1675721610">
    <w:abstractNumId w:val="11"/>
  </w:num>
  <w:num w:numId="15" w16cid:durableId="1328828430">
    <w:abstractNumId w:val="35"/>
  </w:num>
  <w:num w:numId="16" w16cid:durableId="1212771092">
    <w:abstractNumId w:val="46"/>
  </w:num>
  <w:num w:numId="17" w16cid:durableId="1863275127">
    <w:abstractNumId w:val="28"/>
  </w:num>
  <w:num w:numId="18" w16cid:durableId="1391031248">
    <w:abstractNumId w:val="17"/>
  </w:num>
  <w:num w:numId="19" w16cid:durableId="1831167825">
    <w:abstractNumId w:val="6"/>
  </w:num>
  <w:num w:numId="20" w16cid:durableId="1358000758">
    <w:abstractNumId w:val="23"/>
  </w:num>
  <w:num w:numId="21" w16cid:durableId="147795265">
    <w:abstractNumId w:val="10"/>
  </w:num>
  <w:num w:numId="22" w16cid:durableId="1553074489">
    <w:abstractNumId w:val="13"/>
  </w:num>
  <w:num w:numId="23" w16cid:durableId="2087141163">
    <w:abstractNumId w:val="8"/>
  </w:num>
  <w:num w:numId="24" w16cid:durableId="621351204">
    <w:abstractNumId w:val="40"/>
  </w:num>
  <w:num w:numId="25" w16cid:durableId="973488633">
    <w:abstractNumId w:val="31"/>
  </w:num>
  <w:num w:numId="26" w16cid:durableId="1010640799">
    <w:abstractNumId w:val="45"/>
  </w:num>
  <w:num w:numId="27" w16cid:durableId="1027409852">
    <w:abstractNumId w:val="22"/>
  </w:num>
  <w:num w:numId="28" w16cid:durableId="294718209">
    <w:abstractNumId w:val="24"/>
  </w:num>
  <w:num w:numId="29" w16cid:durableId="1083792773">
    <w:abstractNumId w:val="49"/>
  </w:num>
  <w:num w:numId="30" w16cid:durableId="39018009">
    <w:abstractNumId w:val="27"/>
  </w:num>
  <w:num w:numId="31" w16cid:durableId="1216048295">
    <w:abstractNumId w:val="33"/>
  </w:num>
  <w:num w:numId="32" w16cid:durableId="1012955523">
    <w:abstractNumId w:val="38"/>
  </w:num>
  <w:num w:numId="33" w16cid:durableId="1623460720">
    <w:abstractNumId w:val="21"/>
  </w:num>
  <w:num w:numId="34" w16cid:durableId="1045906074">
    <w:abstractNumId w:val="7"/>
  </w:num>
  <w:num w:numId="35" w16cid:durableId="1900938530">
    <w:abstractNumId w:val="44"/>
  </w:num>
  <w:num w:numId="36" w16cid:durableId="1807773919">
    <w:abstractNumId w:val="2"/>
  </w:num>
  <w:num w:numId="37" w16cid:durableId="189682162">
    <w:abstractNumId w:val="19"/>
  </w:num>
  <w:num w:numId="38" w16cid:durableId="1267422793">
    <w:abstractNumId w:val="36"/>
  </w:num>
  <w:num w:numId="39" w16cid:durableId="1471895600">
    <w:abstractNumId w:val="15"/>
  </w:num>
  <w:num w:numId="40" w16cid:durableId="605620434">
    <w:abstractNumId w:val="12"/>
  </w:num>
  <w:num w:numId="41" w16cid:durableId="1171410101">
    <w:abstractNumId w:val="5"/>
  </w:num>
  <w:num w:numId="42" w16cid:durableId="1000694993">
    <w:abstractNumId w:val="20"/>
  </w:num>
  <w:num w:numId="43" w16cid:durableId="1891264149">
    <w:abstractNumId w:val="32"/>
  </w:num>
  <w:num w:numId="44" w16cid:durableId="1695769185">
    <w:abstractNumId w:val="42"/>
  </w:num>
  <w:num w:numId="45" w16cid:durableId="711656160">
    <w:abstractNumId w:val="1"/>
  </w:num>
  <w:num w:numId="46" w16cid:durableId="26495401">
    <w:abstractNumId w:val="4"/>
  </w:num>
  <w:num w:numId="47" w16cid:durableId="1137649192">
    <w:abstractNumId w:val="3"/>
  </w:num>
  <w:num w:numId="48" w16cid:durableId="514924282">
    <w:abstractNumId w:val="14"/>
  </w:num>
  <w:num w:numId="49" w16cid:durableId="731276113">
    <w:abstractNumId w:val="43"/>
  </w:num>
  <w:num w:numId="50" w16cid:durableId="151167452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6A59"/>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262B5"/>
    <w:rsid w:val="001340E3"/>
    <w:rsid w:val="00134533"/>
    <w:rsid w:val="00137D7A"/>
    <w:rsid w:val="00140D5D"/>
    <w:rsid w:val="00143A7C"/>
    <w:rsid w:val="0014682E"/>
    <w:rsid w:val="00147619"/>
    <w:rsid w:val="0015342D"/>
    <w:rsid w:val="00153E35"/>
    <w:rsid w:val="00154552"/>
    <w:rsid w:val="001546D4"/>
    <w:rsid w:val="00157C73"/>
    <w:rsid w:val="00157FE6"/>
    <w:rsid w:val="00160C87"/>
    <w:rsid w:val="00161030"/>
    <w:rsid w:val="00161A02"/>
    <w:rsid w:val="00161DA5"/>
    <w:rsid w:val="001652AE"/>
    <w:rsid w:val="0016588F"/>
    <w:rsid w:val="00167852"/>
    <w:rsid w:val="00167FE5"/>
    <w:rsid w:val="00170291"/>
    <w:rsid w:val="00170A57"/>
    <w:rsid w:val="00170BA4"/>
    <w:rsid w:val="001724F6"/>
    <w:rsid w:val="00181044"/>
    <w:rsid w:val="001811EE"/>
    <w:rsid w:val="001816D5"/>
    <w:rsid w:val="00183390"/>
    <w:rsid w:val="00183585"/>
    <w:rsid w:val="00183BBA"/>
    <w:rsid w:val="00183EB2"/>
    <w:rsid w:val="00184DC1"/>
    <w:rsid w:val="00185B56"/>
    <w:rsid w:val="00191715"/>
    <w:rsid w:val="001927BB"/>
    <w:rsid w:val="00194128"/>
    <w:rsid w:val="00194DD2"/>
    <w:rsid w:val="001950E0"/>
    <w:rsid w:val="001A04F0"/>
    <w:rsid w:val="001A1E36"/>
    <w:rsid w:val="001A2CAD"/>
    <w:rsid w:val="001B476A"/>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56112"/>
    <w:rsid w:val="00256182"/>
    <w:rsid w:val="00264450"/>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C6E08"/>
    <w:rsid w:val="002D0636"/>
    <w:rsid w:val="002D19A2"/>
    <w:rsid w:val="002D3E00"/>
    <w:rsid w:val="002D4041"/>
    <w:rsid w:val="002D4404"/>
    <w:rsid w:val="002D74D3"/>
    <w:rsid w:val="002D78D3"/>
    <w:rsid w:val="002E10A8"/>
    <w:rsid w:val="002E71B0"/>
    <w:rsid w:val="002F10C2"/>
    <w:rsid w:val="002F43FA"/>
    <w:rsid w:val="002F65EB"/>
    <w:rsid w:val="003013CA"/>
    <w:rsid w:val="00301B88"/>
    <w:rsid w:val="003049CF"/>
    <w:rsid w:val="00304F12"/>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368A6"/>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502C"/>
    <w:rsid w:val="0038756E"/>
    <w:rsid w:val="00390802"/>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3E8"/>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03E"/>
    <w:rsid w:val="00493F79"/>
    <w:rsid w:val="00495C0E"/>
    <w:rsid w:val="004972FC"/>
    <w:rsid w:val="004A0139"/>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4D46"/>
    <w:rsid w:val="004E7FE1"/>
    <w:rsid w:val="004F26AB"/>
    <w:rsid w:val="004F3EF6"/>
    <w:rsid w:val="004F466C"/>
    <w:rsid w:val="004F470A"/>
    <w:rsid w:val="004F54D1"/>
    <w:rsid w:val="004F57F8"/>
    <w:rsid w:val="004F5CC0"/>
    <w:rsid w:val="004F7817"/>
    <w:rsid w:val="0050358C"/>
    <w:rsid w:val="005035F1"/>
    <w:rsid w:val="00504CE0"/>
    <w:rsid w:val="00505459"/>
    <w:rsid w:val="00505552"/>
    <w:rsid w:val="00514367"/>
    <w:rsid w:val="00514764"/>
    <w:rsid w:val="00515BBB"/>
    <w:rsid w:val="00517FB0"/>
    <w:rsid w:val="00520556"/>
    <w:rsid w:val="00520D04"/>
    <w:rsid w:val="00521FBB"/>
    <w:rsid w:val="00522C8E"/>
    <w:rsid w:val="00523E76"/>
    <w:rsid w:val="0052634F"/>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5887"/>
    <w:rsid w:val="005962B1"/>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273BB"/>
    <w:rsid w:val="00731089"/>
    <w:rsid w:val="0073599A"/>
    <w:rsid w:val="00740F51"/>
    <w:rsid w:val="00741DD3"/>
    <w:rsid w:val="00743D67"/>
    <w:rsid w:val="00746088"/>
    <w:rsid w:val="007473B1"/>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4D49"/>
    <w:rsid w:val="007F57C6"/>
    <w:rsid w:val="007F72EC"/>
    <w:rsid w:val="007F7310"/>
    <w:rsid w:val="00800A59"/>
    <w:rsid w:val="00801A70"/>
    <w:rsid w:val="008024C5"/>
    <w:rsid w:val="008058DC"/>
    <w:rsid w:val="00805D17"/>
    <w:rsid w:val="00812FCA"/>
    <w:rsid w:val="008133FA"/>
    <w:rsid w:val="00816B9C"/>
    <w:rsid w:val="00816F1A"/>
    <w:rsid w:val="00817E9E"/>
    <w:rsid w:val="00821D66"/>
    <w:rsid w:val="008245E3"/>
    <w:rsid w:val="00824FDC"/>
    <w:rsid w:val="00825AB9"/>
    <w:rsid w:val="0082616C"/>
    <w:rsid w:val="00827B51"/>
    <w:rsid w:val="008329E0"/>
    <w:rsid w:val="008338E9"/>
    <w:rsid w:val="00834903"/>
    <w:rsid w:val="00834E15"/>
    <w:rsid w:val="008352FC"/>
    <w:rsid w:val="008363AB"/>
    <w:rsid w:val="008366E9"/>
    <w:rsid w:val="00836A92"/>
    <w:rsid w:val="00837824"/>
    <w:rsid w:val="008431CE"/>
    <w:rsid w:val="00844DAC"/>
    <w:rsid w:val="008468EF"/>
    <w:rsid w:val="0084713E"/>
    <w:rsid w:val="00854636"/>
    <w:rsid w:val="00861EB8"/>
    <w:rsid w:val="0086245B"/>
    <w:rsid w:val="00862539"/>
    <w:rsid w:val="0086291F"/>
    <w:rsid w:val="0086688F"/>
    <w:rsid w:val="00866E55"/>
    <w:rsid w:val="00870854"/>
    <w:rsid w:val="00870948"/>
    <w:rsid w:val="00870DC8"/>
    <w:rsid w:val="008710B0"/>
    <w:rsid w:val="0087503E"/>
    <w:rsid w:val="0087511A"/>
    <w:rsid w:val="00875A18"/>
    <w:rsid w:val="0087605B"/>
    <w:rsid w:val="00877BB1"/>
    <w:rsid w:val="00877F12"/>
    <w:rsid w:val="00880980"/>
    <w:rsid w:val="00881B6D"/>
    <w:rsid w:val="00881EEE"/>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23D0"/>
    <w:rsid w:val="008A309E"/>
    <w:rsid w:val="008A3FBD"/>
    <w:rsid w:val="008A522E"/>
    <w:rsid w:val="008A5B0D"/>
    <w:rsid w:val="008A5F8C"/>
    <w:rsid w:val="008B16AE"/>
    <w:rsid w:val="008B1E5C"/>
    <w:rsid w:val="008B22AD"/>
    <w:rsid w:val="008B564B"/>
    <w:rsid w:val="008B62E3"/>
    <w:rsid w:val="008B6633"/>
    <w:rsid w:val="008B6B2D"/>
    <w:rsid w:val="008B72EE"/>
    <w:rsid w:val="008B7D7A"/>
    <w:rsid w:val="008C0D08"/>
    <w:rsid w:val="008C1572"/>
    <w:rsid w:val="008C2788"/>
    <w:rsid w:val="008C3417"/>
    <w:rsid w:val="008C4404"/>
    <w:rsid w:val="008C5CB3"/>
    <w:rsid w:val="008C6101"/>
    <w:rsid w:val="008C74B0"/>
    <w:rsid w:val="008D1667"/>
    <w:rsid w:val="008D4E22"/>
    <w:rsid w:val="008D610E"/>
    <w:rsid w:val="008D789A"/>
    <w:rsid w:val="008D7B80"/>
    <w:rsid w:val="008E12E9"/>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A68C5"/>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6BDB"/>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3B8C"/>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0D89"/>
    <w:rsid w:val="00A71131"/>
    <w:rsid w:val="00A71550"/>
    <w:rsid w:val="00A724C3"/>
    <w:rsid w:val="00A7589C"/>
    <w:rsid w:val="00A76230"/>
    <w:rsid w:val="00A76EEF"/>
    <w:rsid w:val="00A77892"/>
    <w:rsid w:val="00A77C68"/>
    <w:rsid w:val="00A77D2F"/>
    <w:rsid w:val="00A832B2"/>
    <w:rsid w:val="00A83370"/>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189B"/>
    <w:rsid w:val="00AC440E"/>
    <w:rsid w:val="00AC736E"/>
    <w:rsid w:val="00AD0852"/>
    <w:rsid w:val="00AD1054"/>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54D9"/>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7CE6"/>
    <w:rsid w:val="00B41664"/>
    <w:rsid w:val="00B4209B"/>
    <w:rsid w:val="00B42B44"/>
    <w:rsid w:val="00B42C52"/>
    <w:rsid w:val="00B44CA6"/>
    <w:rsid w:val="00B46B6F"/>
    <w:rsid w:val="00B476AB"/>
    <w:rsid w:val="00B50E04"/>
    <w:rsid w:val="00B51BA7"/>
    <w:rsid w:val="00B601D5"/>
    <w:rsid w:val="00B6027B"/>
    <w:rsid w:val="00B616F9"/>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03B"/>
    <w:rsid w:val="00BA2A9C"/>
    <w:rsid w:val="00BA408A"/>
    <w:rsid w:val="00BA5EEA"/>
    <w:rsid w:val="00BA64D7"/>
    <w:rsid w:val="00BA7F32"/>
    <w:rsid w:val="00BB194D"/>
    <w:rsid w:val="00BB3DF4"/>
    <w:rsid w:val="00BB5777"/>
    <w:rsid w:val="00BB5F82"/>
    <w:rsid w:val="00BC42F9"/>
    <w:rsid w:val="00BD07DC"/>
    <w:rsid w:val="00BD0DB8"/>
    <w:rsid w:val="00BD0E10"/>
    <w:rsid w:val="00BE0905"/>
    <w:rsid w:val="00BE398C"/>
    <w:rsid w:val="00BE3AC3"/>
    <w:rsid w:val="00BE5277"/>
    <w:rsid w:val="00BE5291"/>
    <w:rsid w:val="00BE7494"/>
    <w:rsid w:val="00BF2576"/>
    <w:rsid w:val="00BF5A8A"/>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2C1B"/>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E73CD"/>
    <w:rsid w:val="00DF02F6"/>
    <w:rsid w:val="00DF2986"/>
    <w:rsid w:val="00DF33D9"/>
    <w:rsid w:val="00DF59EC"/>
    <w:rsid w:val="00E001BA"/>
    <w:rsid w:val="00E0114D"/>
    <w:rsid w:val="00E019C7"/>
    <w:rsid w:val="00E030CE"/>
    <w:rsid w:val="00E04943"/>
    <w:rsid w:val="00E064F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5D1A"/>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8E3"/>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564"/>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2EFA"/>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870EA"/>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1AD7"/>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6315</Words>
  <Characters>37260</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17</cp:revision>
  <dcterms:created xsi:type="dcterms:W3CDTF">2025-07-09T11:15:00Z</dcterms:created>
  <dcterms:modified xsi:type="dcterms:W3CDTF">2025-09-09T04:30:00Z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