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76402" w14:textId="300B11B3" w:rsidR="004F75CA" w:rsidRPr="00C11D35" w:rsidRDefault="004F75CA" w:rsidP="004F75CA">
      <w:pPr>
        <w:spacing w:after="240"/>
        <w:ind w:firstLine="0"/>
        <w:jc w:val="both"/>
        <w:rPr>
          <w:rFonts w:asciiTheme="minorHAnsi" w:hAnsiTheme="minorHAnsi" w:cstheme="minorHAnsi"/>
          <w:b/>
          <w:szCs w:val="22"/>
          <w:u w:val="single"/>
        </w:rPr>
      </w:pPr>
      <w:r w:rsidRPr="00C11D35">
        <w:rPr>
          <w:rFonts w:asciiTheme="minorHAnsi" w:hAnsiTheme="minorHAnsi" w:cstheme="minorHAnsi"/>
          <w:b/>
          <w:szCs w:val="22"/>
          <w:u w:val="single"/>
        </w:rPr>
        <w:t>Předmět plnění</w:t>
      </w:r>
    </w:p>
    <w:p w14:paraId="40D3DDA9" w14:textId="33B2CF4D" w:rsidR="004F75CA" w:rsidRPr="00C11D35" w:rsidRDefault="004F75CA" w:rsidP="004F75CA">
      <w:pPr>
        <w:spacing w:after="240"/>
        <w:ind w:firstLine="0"/>
        <w:jc w:val="both"/>
        <w:rPr>
          <w:rFonts w:asciiTheme="minorHAnsi" w:hAnsiTheme="minorHAnsi" w:cstheme="minorHAnsi"/>
          <w:szCs w:val="22"/>
        </w:rPr>
      </w:pPr>
      <w:r w:rsidRPr="00C11D35">
        <w:rPr>
          <w:rFonts w:asciiTheme="minorHAnsi" w:hAnsiTheme="minorHAnsi" w:cstheme="minorHAnsi"/>
          <w:szCs w:val="22"/>
        </w:rPr>
        <w:t xml:space="preserve">Předmětem plnění je zajištění výkonu role manažera kybernetické bezpečnosti pro ZZS </w:t>
      </w:r>
      <w:proofErr w:type="spellStart"/>
      <w:r w:rsidRPr="00C11D35">
        <w:rPr>
          <w:rFonts w:asciiTheme="minorHAnsi" w:hAnsiTheme="minorHAnsi" w:cstheme="minorHAnsi"/>
          <w:szCs w:val="22"/>
        </w:rPr>
        <w:t>JmK</w:t>
      </w:r>
      <w:proofErr w:type="spellEnd"/>
      <w:r w:rsidRPr="00C11D35">
        <w:rPr>
          <w:rFonts w:asciiTheme="minorHAnsi" w:hAnsiTheme="minorHAnsi" w:cstheme="minorHAnsi"/>
          <w:szCs w:val="22"/>
        </w:rPr>
        <w:t>. Specifikace stanovuje rámec činností, pravomocí a odpovědností této role v souladu s legislativními požadavky týkajícími se kybernetické bezpečnosti a transpozice směrnice NIS2 do českého právního řádu.</w:t>
      </w:r>
    </w:p>
    <w:p w14:paraId="1AEB660D" w14:textId="77777777" w:rsidR="004F75CA" w:rsidRPr="00C11D35" w:rsidRDefault="004F75CA" w:rsidP="004F75CA">
      <w:pPr>
        <w:spacing w:after="240"/>
        <w:ind w:firstLine="0"/>
        <w:jc w:val="both"/>
        <w:rPr>
          <w:rFonts w:asciiTheme="minorHAnsi" w:hAnsiTheme="minorHAnsi" w:cstheme="minorHAnsi"/>
          <w:szCs w:val="22"/>
        </w:rPr>
      </w:pPr>
      <w:r w:rsidRPr="00C11D35">
        <w:rPr>
          <w:rFonts w:asciiTheme="minorHAnsi" w:hAnsiTheme="minorHAnsi" w:cstheme="minorHAnsi"/>
          <w:szCs w:val="22"/>
        </w:rPr>
        <w:t>Cílem je zajistit dlouhodobý, strategický a koordinovaný rozvoj kybernetické bezpečnosti organizace, průběžnou připravenost na nové legislativní požadavky a efektivní fungování systému řízení bezpečnosti informací.</w:t>
      </w:r>
    </w:p>
    <w:p w14:paraId="53B6C967" w14:textId="77777777" w:rsidR="004F75CA" w:rsidRPr="00C11D35" w:rsidRDefault="004F75CA" w:rsidP="00C11D35">
      <w:pPr>
        <w:spacing w:after="240"/>
        <w:ind w:firstLine="0"/>
        <w:jc w:val="both"/>
        <w:rPr>
          <w:rFonts w:asciiTheme="minorHAnsi" w:hAnsiTheme="minorHAnsi" w:cstheme="minorHAnsi"/>
          <w:b/>
          <w:szCs w:val="22"/>
          <w:u w:val="single"/>
        </w:rPr>
      </w:pPr>
      <w:r w:rsidRPr="00C11D35">
        <w:rPr>
          <w:rFonts w:asciiTheme="minorHAnsi" w:hAnsiTheme="minorHAnsi" w:cstheme="minorHAnsi"/>
          <w:b/>
          <w:szCs w:val="22"/>
          <w:u w:val="single"/>
        </w:rPr>
        <w:t>Standardní aktivity</w:t>
      </w:r>
    </w:p>
    <w:p w14:paraId="2659559A" w14:textId="77777777" w:rsidR="004F75CA" w:rsidRPr="00C11D35" w:rsidRDefault="004F75CA" w:rsidP="004F75CA">
      <w:pPr>
        <w:spacing w:after="240"/>
        <w:ind w:firstLine="0"/>
        <w:rPr>
          <w:rFonts w:asciiTheme="minorHAnsi" w:hAnsiTheme="minorHAnsi" w:cstheme="minorHAnsi"/>
          <w:szCs w:val="22"/>
        </w:rPr>
      </w:pPr>
      <w:r w:rsidRPr="00C11D35">
        <w:rPr>
          <w:rFonts w:asciiTheme="minorHAnsi" w:hAnsiTheme="minorHAnsi" w:cstheme="minorHAnsi"/>
          <w:szCs w:val="22"/>
        </w:rPr>
        <w:t>Pravomoci a odpovědnosti role manažera kybernetické bezpečnosti:</w:t>
      </w:r>
    </w:p>
    <w:p w14:paraId="4C35BEF9" w14:textId="77777777" w:rsidR="004F75CA" w:rsidRPr="00C11D35" w:rsidRDefault="004F75CA" w:rsidP="004F75CA">
      <w:pPr>
        <w:pStyle w:val="Odstavecseseznamem"/>
        <w:widowControl w:val="0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lang w:eastAsia="de-DE"/>
        </w:rPr>
      </w:pPr>
      <w:r w:rsidRPr="00C11D35">
        <w:rPr>
          <w:rFonts w:asciiTheme="minorHAnsi" w:hAnsiTheme="minorHAnsi" w:cstheme="minorHAnsi"/>
          <w:lang w:eastAsia="de-DE"/>
        </w:rPr>
        <w:t>Ochrana důvěrnosti, integrity a dostupnosti dat</w:t>
      </w:r>
    </w:p>
    <w:p w14:paraId="44EC41FB" w14:textId="77777777" w:rsidR="004F75CA" w:rsidRPr="00C11D35" w:rsidRDefault="004F75CA" w:rsidP="004F75CA">
      <w:pPr>
        <w:pStyle w:val="Odstavecseseznamem"/>
        <w:widowControl w:val="0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lang w:eastAsia="de-DE"/>
        </w:rPr>
      </w:pPr>
      <w:r w:rsidRPr="00C11D35">
        <w:rPr>
          <w:rFonts w:asciiTheme="minorHAnsi" w:hAnsiTheme="minorHAnsi" w:cstheme="minorHAnsi"/>
          <w:lang w:eastAsia="de-DE"/>
        </w:rPr>
        <w:t>Vývoj dlouhodobé strategie kybernetické bezpečnosti</w:t>
      </w:r>
      <w:r w:rsidRPr="00C11D35">
        <w:rPr>
          <w:rFonts w:asciiTheme="minorHAnsi" w:hAnsiTheme="minorHAnsi" w:cstheme="minorHAnsi"/>
        </w:rPr>
        <w:t xml:space="preserve"> </w:t>
      </w:r>
      <w:r w:rsidRPr="00C11D35">
        <w:rPr>
          <w:rFonts w:asciiTheme="minorHAnsi" w:hAnsiTheme="minorHAnsi" w:cstheme="minorHAnsi"/>
          <w:lang w:eastAsia="de-DE"/>
        </w:rPr>
        <w:t>v souladu s činností organizace</w:t>
      </w:r>
    </w:p>
    <w:p w14:paraId="36AC06C3" w14:textId="77777777" w:rsidR="004F75CA" w:rsidRPr="00C11D35" w:rsidRDefault="004F75CA" w:rsidP="004F75CA">
      <w:pPr>
        <w:pStyle w:val="Odstavecseseznamem"/>
        <w:widowControl w:val="0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lang w:eastAsia="de-DE"/>
        </w:rPr>
      </w:pPr>
      <w:r w:rsidRPr="00C11D35">
        <w:rPr>
          <w:rFonts w:asciiTheme="minorHAnsi" w:hAnsiTheme="minorHAnsi" w:cstheme="minorHAnsi"/>
          <w:lang w:eastAsia="de-DE"/>
        </w:rPr>
        <w:t>Definice a zavádění dílčích bezpečnostních opatření s ohledem na rizika</w:t>
      </w:r>
    </w:p>
    <w:p w14:paraId="008C32BF" w14:textId="77777777" w:rsidR="004F75CA" w:rsidRPr="00C11D35" w:rsidRDefault="004F75CA" w:rsidP="004F75CA">
      <w:pPr>
        <w:pStyle w:val="Odstavecseseznamem"/>
        <w:widowControl w:val="0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lang w:eastAsia="de-DE"/>
        </w:rPr>
      </w:pPr>
      <w:r w:rsidRPr="00C11D35">
        <w:rPr>
          <w:rFonts w:asciiTheme="minorHAnsi" w:hAnsiTheme="minorHAnsi" w:cstheme="minorHAnsi"/>
          <w:lang w:eastAsia="de-DE"/>
        </w:rPr>
        <w:t>Průběžná údržba a aktualizace ISMS dokumentace</w:t>
      </w:r>
    </w:p>
    <w:p w14:paraId="1D837CF1" w14:textId="77777777" w:rsidR="004F75CA" w:rsidRPr="00C11D35" w:rsidRDefault="004F75CA" w:rsidP="004F75CA">
      <w:pPr>
        <w:pStyle w:val="Odstavecseseznamem"/>
        <w:widowControl w:val="0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lang w:eastAsia="de-DE"/>
        </w:rPr>
      </w:pPr>
      <w:r w:rsidRPr="00C11D35">
        <w:rPr>
          <w:rFonts w:asciiTheme="minorHAnsi" w:hAnsiTheme="minorHAnsi" w:cstheme="minorHAnsi"/>
          <w:lang w:eastAsia="de-DE"/>
        </w:rPr>
        <w:t>Hodnocení a řízení rizik v úzké spolupráci s interními týmy a externími partnery</w:t>
      </w:r>
    </w:p>
    <w:p w14:paraId="585CDBD4" w14:textId="77777777" w:rsidR="004F75CA" w:rsidRPr="00C11D35" w:rsidRDefault="004F75CA" w:rsidP="004F75CA">
      <w:pPr>
        <w:pStyle w:val="Odstavecseseznamem"/>
        <w:widowControl w:val="0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lang w:eastAsia="de-DE"/>
        </w:rPr>
      </w:pPr>
      <w:r w:rsidRPr="00C11D35">
        <w:rPr>
          <w:rFonts w:asciiTheme="minorHAnsi" w:hAnsiTheme="minorHAnsi" w:cstheme="minorHAnsi"/>
          <w:lang w:eastAsia="de-DE"/>
        </w:rPr>
        <w:t>Osvěta a školení zaměstnanců v oblasti kybernetické bezpečnosti</w:t>
      </w:r>
    </w:p>
    <w:p w14:paraId="7D6A34C8" w14:textId="77777777" w:rsidR="004F75CA" w:rsidRPr="00C11D35" w:rsidRDefault="004F75CA" w:rsidP="004F75CA">
      <w:pPr>
        <w:pStyle w:val="Odstavecseseznamem"/>
        <w:widowControl w:val="0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lang w:eastAsia="de-DE"/>
        </w:rPr>
      </w:pPr>
      <w:r w:rsidRPr="00C11D35">
        <w:rPr>
          <w:rFonts w:asciiTheme="minorHAnsi" w:hAnsiTheme="minorHAnsi" w:cstheme="minorHAnsi"/>
          <w:lang w:eastAsia="de-DE"/>
        </w:rPr>
        <w:t>Definování metrik pro měření úspěchu programu a průběžný monitoring</w:t>
      </w:r>
    </w:p>
    <w:p w14:paraId="6E77E03A" w14:textId="77777777" w:rsidR="004F75CA" w:rsidRPr="00C11D35" w:rsidRDefault="004F75CA" w:rsidP="004F75CA">
      <w:pPr>
        <w:pStyle w:val="Odstavecseseznamem"/>
        <w:widowControl w:val="0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lang w:eastAsia="de-DE"/>
        </w:rPr>
      </w:pPr>
      <w:r w:rsidRPr="00C11D35">
        <w:rPr>
          <w:rFonts w:asciiTheme="minorHAnsi" w:hAnsiTheme="minorHAnsi" w:cstheme="minorHAnsi"/>
          <w:lang w:eastAsia="de-DE"/>
        </w:rPr>
        <w:t>Řízení vztahů s dodavateli, včetně posuzování jejich bezpečnostních standardů</w:t>
      </w:r>
    </w:p>
    <w:p w14:paraId="07E20FC7" w14:textId="77777777" w:rsidR="004F75CA" w:rsidRPr="00C11D35" w:rsidRDefault="004F75CA" w:rsidP="004F75CA">
      <w:pPr>
        <w:pStyle w:val="Odstavecseseznamem"/>
        <w:widowControl w:val="0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lang w:eastAsia="de-DE"/>
        </w:rPr>
      </w:pPr>
      <w:r w:rsidRPr="00C11D35">
        <w:rPr>
          <w:rFonts w:asciiTheme="minorHAnsi" w:hAnsiTheme="minorHAnsi" w:cstheme="minorHAnsi"/>
          <w:lang w:eastAsia="de-DE"/>
        </w:rPr>
        <w:t>Integrace a řízení dalších bezpečnostních služeb třetích stran</w:t>
      </w:r>
    </w:p>
    <w:p w14:paraId="0683FEC4" w14:textId="77777777" w:rsidR="004F75CA" w:rsidRPr="00C11D35" w:rsidRDefault="004F75CA" w:rsidP="004F75CA">
      <w:pPr>
        <w:pStyle w:val="Odstavecseseznamem"/>
        <w:widowControl w:val="0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lang w:eastAsia="de-DE"/>
        </w:rPr>
      </w:pPr>
      <w:r w:rsidRPr="00C11D35">
        <w:rPr>
          <w:rFonts w:asciiTheme="minorHAnsi" w:hAnsiTheme="minorHAnsi" w:cstheme="minorHAnsi"/>
          <w:lang w:eastAsia="de-DE"/>
        </w:rPr>
        <w:t>Průběžné sledování a zlepšování implementovaných opatření</w:t>
      </w:r>
    </w:p>
    <w:p w14:paraId="10D164E5" w14:textId="77777777" w:rsidR="004F75CA" w:rsidRPr="00C11D35" w:rsidRDefault="004F75CA" w:rsidP="004F75CA">
      <w:pPr>
        <w:pStyle w:val="Odstavecseseznamem"/>
        <w:widowControl w:val="0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lang w:eastAsia="de-DE"/>
        </w:rPr>
      </w:pPr>
      <w:r w:rsidRPr="00C11D35">
        <w:rPr>
          <w:rFonts w:asciiTheme="minorHAnsi" w:hAnsiTheme="minorHAnsi" w:cstheme="minorHAnsi"/>
          <w:lang w:eastAsia="de-DE"/>
        </w:rPr>
        <w:t>Zajištění souladu s legislativními požadavky týkajícími se kybernetické bezpečnosti a transpozice směrnice NIS2 do českého právního řádu, včetně včasné připravenosti organizace na nové legislativní povinnosti</w:t>
      </w:r>
    </w:p>
    <w:p w14:paraId="4C1867CD" w14:textId="0587363B" w:rsidR="004F75CA" w:rsidRPr="00C11D35" w:rsidRDefault="004F75CA" w:rsidP="004F75CA">
      <w:pPr>
        <w:pStyle w:val="Odstavecseseznamem"/>
        <w:widowControl w:val="0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lang w:eastAsia="de-DE"/>
        </w:rPr>
      </w:pPr>
      <w:r w:rsidRPr="00C11D35">
        <w:rPr>
          <w:rFonts w:asciiTheme="minorHAnsi" w:hAnsiTheme="minorHAnsi" w:cstheme="minorHAnsi"/>
          <w:lang w:eastAsia="de-DE"/>
        </w:rPr>
        <w:t>Konzultace zadávacích dokumentací u zakázek z pohledu kybernetické bezpečnost</w:t>
      </w:r>
      <w:r w:rsidR="008F1D84">
        <w:rPr>
          <w:rFonts w:asciiTheme="minorHAnsi" w:hAnsiTheme="minorHAnsi" w:cstheme="minorHAnsi"/>
          <w:lang w:eastAsia="de-DE"/>
        </w:rPr>
        <w:t>i</w:t>
      </w:r>
      <w:bookmarkStart w:id="0" w:name="_GoBack"/>
      <w:bookmarkEnd w:id="0"/>
    </w:p>
    <w:p w14:paraId="5F530FAB" w14:textId="77777777" w:rsidR="004F75CA" w:rsidRPr="00C11D35" w:rsidRDefault="004F75CA" w:rsidP="004F75CA">
      <w:pPr>
        <w:rPr>
          <w:rFonts w:asciiTheme="minorHAnsi" w:hAnsiTheme="minorHAnsi" w:cstheme="minorHAnsi"/>
          <w:szCs w:val="22"/>
          <w:lang w:eastAsia="de-DE"/>
        </w:rPr>
      </w:pPr>
      <w:r w:rsidRPr="00C11D35">
        <w:rPr>
          <w:rFonts w:asciiTheme="minorHAnsi" w:hAnsiTheme="minorHAnsi" w:cstheme="minorHAnsi"/>
          <w:szCs w:val="22"/>
          <w:lang w:eastAsia="de-DE"/>
        </w:rPr>
        <w:t xml:space="preserve"> </w:t>
      </w:r>
    </w:p>
    <w:p w14:paraId="108CF80D" w14:textId="77777777" w:rsidR="004F75CA" w:rsidRPr="00C11D35" w:rsidRDefault="004F75CA" w:rsidP="004F75CA">
      <w:pPr>
        <w:spacing w:after="240"/>
        <w:ind w:firstLine="0"/>
        <w:rPr>
          <w:rFonts w:asciiTheme="minorHAnsi" w:hAnsiTheme="minorHAnsi" w:cstheme="minorHAnsi"/>
          <w:szCs w:val="22"/>
        </w:rPr>
      </w:pPr>
      <w:r w:rsidRPr="00C11D35">
        <w:rPr>
          <w:rFonts w:asciiTheme="minorHAnsi" w:hAnsiTheme="minorHAnsi" w:cstheme="minorHAnsi"/>
          <w:szCs w:val="22"/>
        </w:rPr>
        <w:t>Klíčové činnosti:</w:t>
      </w:r>
    </w:p>
    <w:p w14:paraId="0B14D7E7" w14:textId="77777777" w:rsidR="004F75CA" w:rsidRPr="00C11D35" w:rsidRDefault="004F75CA" w:rsidP="004F75CA">
      <w:pPr>
        <w:pStyle w:val="Odstavecseseznamem"/>
        <w:widowControl w:val="0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lang w:eastAsia="de-DE"/>
        </w:rPr>
      </w:pPr>
      <w:r w:rsidRPr="00C11D35">
        <w:rPr>
          <w:rFonts w:asciiTheme="minorHAnsi" w:hAnsiTheme="minorHAnsi" w:cstheme="minorHAnsi"/>
          <w:lang w:eastAsia="de-DE"/>
        </w:rPr>
        <w:t>Organizuje schůzky výboru pro řízení kybernetické bezpečnosti</w:t>
      </w:r>
    </w:p>
    <w:p w14:paraId="39AB6FD7" w14:textId="77777777" w:rsidR="004F75CA" w:rsidRPr="00C11D35" w:rsidRDefault="004F75CA" w:rsidP="004F75CA">
      <w:pPr>
        <w:pStyle w:val="Odstavecseseznamem"/>
        <w:widowControl w:val="0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lang w:eastAsia="de-DE"/>
        </w:rPr>
      </w:pPr>
      <w:r w:rsidRPr="00C11D35">
        <w:rPr>
          <w:rFonts w:asciiTheme="minorHAnsi" w:hAnsiTheme="minorHAnsi" w:cstheme="minorHAnsi"/>
          <w:lang w:eastAsia="de-DE"/>
        </w:rPr>
        <w:t>Účastní se kontrol pravidel pro zacházení s aktivy (klasifikace informací, označování aktiv...)</w:t>
      </w:r>
    </w:p>
    <w:p w14:paraId="00EE6A6B" w14:textId="77777777" w:rsidR="004F75CA" w:rsidRPr="00C11D35" w:rsidRDefault="004F75CA" w:rsidP="004F75CA">
      <w:pPr>
        <w:pStyle w:val="Odstavecseseznamem"/>
        <w:widowControl w:val="0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lang w:eastAsia="de-DE"/>
        </w:rPr>
      </w:pPr>
      <w:r w:rsidRPr="00C11D35">
        <w:rPr>
          <w:rFonts w:asciiTheme="minorHAnsi" w:hAnsiTheme="minorHAnsi" w:cstheme="minorHAnsi"/>
          <w:lang w:eastAsia="de-DE"/>
        </w:rPr>
        <w:t>Vyhodnocuje a optimalizuje proces a řízení změn</w:t>
      </w:r>
    </w:p>
    <w:p w14:paraId="55754025" w14:textId="77777777" w:rsidR="004F75CA" w:rsidRPr="00C11D35" w:rsidRDefault="004F75CA" w:rsidP="004F75CA">
      <w:pPr>
        <w:pStyle w:val="Odstavecseseznamem"/>
        <w:widowControl w:val="0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lang w:eastAsia="de-DE"/>
        </w:rPr>
      </w:pPr>
      <w:r w:rsidRPr="00C11D35">
        <w:rPr>
          <w:rFonts w:asciiTheme="minorHAnsi" w:hAnsiTheme="minorHAnsi" w:cstheme="minorHAnsi"/>
          <w:lang w:eastAsia="de-DE"/>
        </w:rPr>
        <w:t>Vyhodnocuje proces relevantních bezpečnostních opatření fyzické ochrany</w:t>
      </w:r>
    </w:p>
    <w:p w14:paraId="0E2AAAE8" w14:textId="77777777" w:rsidR="004F75CA" w:rsidRPr="00C11D35" w:rsidRDefault="004F75CA" w:rsidP="004F75CA">
      <w:pPr>
        <w:pStyle w:val="Odstavecseseznamem"/>
        <w:widowControl w:val="0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lang w:eastAsia="de-DE"/>
        </w:rPr>
      </w:pPr>
      <w:r w:rsidRPr="00C11D35">
        <w:rPr>
          <w:rFonts w:asciiTheme="minorHAnsi" w:hAnsiTheme="minorHAnsi" w:cstheme="minorHAnsi"/>
          <w:lang w:eastAsia="de-DE"/>
        </w:rPr>
        <w:t>Dohlíží na dodávky dílčích projektů dle stanoveného rozpočtu a v daném termínu (převážně se bude jednat o technická bezpečnostní opatření)</w:t>
      </w:r>
    </w:p>
    <w:p w14:paraId="15EB2E98" w14:textId="77777777" w:rsidR="004F75CA" w:rsidRPr="00C11D35" w:rsidRDefault="004F75CA" w:rsidP="004F75CA">
      <w:pPr>
        <w:pStyle w:val="Odstavecseseznamem"/>
        <w:widowControl w:val="0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lang w:eastAsia="de-DE"/>
        </w:rPr>
      </w:pPr>
      <w:r w:rsidRPr="00C11D35">
        <w:rPr>
          <w:rFonts w:asciiTheme="minorHAnsi" w:hAnsiTheme="minorHAnsi" w:cstheme="minorHAnsi"/>
          <w:lang w:eastAsia="de-DE"/>
        </w:rPr>
        <w:t>Pravidelný reporting a komunikace s vrcholným vedením</w:t>
      </w:r>
      <w:r w:rsidRPr="00C11D35">
        <w:rPr>
          <w:rFonts w:asciiTheme="minorHAnsi" w:hAnsiTheme="minorHAnsi" w:cstheme="minorHAnsi"/>
          <w:lang w:val="en-US"/>
        </w:rPr>
        <w:t xml:space="preserve"> </w:t>
      </w:r>
      <w:r w:rsidRPr="00C11D35">
        <w:rPr>
          <w:rFonts w:asciiTheme="minorHAnsi" w:hAnsiTheme="minorHAnsi" w:cstheme="minorHAnsi"/>
          <w:lang w:eastAsia="de-DE"/>
        </w:rPr>
        <w:t>ohledně bezpečnosti a rizik</w:t>
      </w:r>
    </w:p>
    <w:p w14:paraId="7A674C6A" w14:textId="77777777" w:rsidR="004F75CA" w:rsidRPr="00C11D35" w:rsidRDefault="004F75CA" w:rsidP="004F75CA">
      <w:pPr>
        <w:pStyle w:val="Odstavecseseznamem"/>
        <w:widowControl w:val="0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lang w:eastAsia="de-DE"/>
        </w:rPr>
      </w:pPr>
      <w:r w:rsidRPr="00C11D35">
        <w:rPr>
          <w:rFonts w:asciiTheme="minorHAnsi" w:hAnsiTheme="minorHAnsi" w:cstheme="minorHAnsi"/>
          <w:lang w:eastAsia="de-DE"/>
        </w:rPr>
        <w:t>Účast na procesu hodnocení a řízení rizik, tvorbě a testování BCM (</w:t>
      </w:r>
      <w:r w:rsidRPr="00C11D35">
        <w:rPr>
          <w:rFonts w:asciiTheme="minorHAnsi" w:hAnsiTheme="minorHAnsi" w:cstheme="minorHAnsi"/>
          <w:i/>
          <w:iCs/>
          <w:lang w:eastAsia="de-DE"/>
        </w:rPr>
        <w:t xml:space="preserve">Business </w:t>
      </w:r>
      <w:proofErr w:type="spellStart"/>
      <w:r w:rsidRPr="00C11D35">
        <w:rPr>
          <w:rFonts w:asciiTheme="minorHAnsi" w:hAnsiTheme="minorHAnsi" w:cstheme="minorHAnsi"/>
          <w:i/>
          <w:iCs/>
          <w:lang w:eastAsia="de-DE"/>
        </w:rPr>
        <w:t>Continuity</w:t>
      </w:r>
      <w:proofErr w:type="spellEnd"/>
      <w:r w:rsidRPr="00C11D35">
        <w:rPr>
          <w:rFonts w:asciiTheme="minorHAnsi" w:hAnsiTheme="minorHAnsi" w:cstheme="minorHAnsi"/>
          <w:i/>
          <w:iCs/>
          <w:lang w:eastAsia="de-DE"/>
        </w:rPr>
        <w:t xml:space="preserve"> Management</w:t>
      </w:r>
      <w:r w:rsidRPr="00C11D35">
        <w:rPr>
          <w:rFonts w:asciiTheme="minorHAnsi" w:hAnsiTheme="minorHAnsi" w:cstheme="minorHAnsi"/>
          <w:lang w:eastAsia="de-DE"/>
        </w:rPr>
        <w:t>), BCP (</w:t>
      </w:r>
      <w:r w:rsidRPr="00C11D35">
        <w:rPr>
          <w:rFonts w:asciiTheme="minorHAnsi" w:hAnsiTheme="minorHAnsi" w:cstheme="minorHAnsi"/>
          <w:i/>
          <w:iCs/>
          <w:lang w:eastAsia="de-DE"/>
        </w:rPr>
        <w:t xml:space="preserve">Business </w:t>
      </w:r>
      <w:proofErr w:type="spellStart"/>
      <w:r w:rsidRPr="00C11D35">
        <w:rPr>
          <w:rFonts w:asciiTheme="minorHAnsi" w:hAnsiTheme="minorHAnsi" w:cstheme="minorHAnsi"/>
          <w:i/>
          <w:iCs/>
          <w:lang w:eastAsia="de-DE"/>
        </w:rPr>
        <w:t>Continuity</w:t>
      </w:r>
      <w:proofErr w:type="spellEnd"/>
      <w:r w:rsidRPr="00C11D35">
        <w:rPr>
          <w:rFonts w:asciiTheme="minorHAnsi" w:hAnsiTheme="minorHAnsi" w:cstheme="minorHAnsi"/>
          <w:i/>
          <w:iCs/>
          <w:lang w:eastAsia="de-DE"/>
        </w:rPr>
        <w:t xml:space="preserve"> </w:t>
      </w:r>
      <w:proofErr w:type="spellStart"/>
      <w:r w:rsidRPr="00C11D35">
        <w:rPr>
          <w:rFonts w:asciiTheme="minorHAnsi" w:hAnsiTheme="minorHAnsi" w:cstheme="minorHAnsi"/>
          <w:i/>
          <w:iCs/>
          <w:lang w:eastAsia="de-DE"/>
        </w:rPr>
        <w:t>Plan</w:t>
      </w:r>
      <w:proofErr w:type="spellEnd"/>
      <w:r w:rsidRPr="00C11D35">
        <w:rPr>
          <w:rFonts w:asciiTheme="minorHAnsi" w:hAnsiTheme="minorHAnsi" w:cstheme="minorHAnsi"/>
          <w:lang w:eastAsia="de-DE"/>
        </w:rPr>
        <w:t>) a DRP (</w:t>
      </w:r>
      <w:proofErr w:type="spellStart"/>
      <w:r w:rsidRPr="00C11D35">
        <w:rPr>
          <w:rFonts w:asciiTheme="minorHAnsi" w:hAnsiTheme="minorHAnsi" w:cstheme="minorHAnsi"/>
          <w:i/>
          <w:iCs/>
          <w:lang w:eastAsia="de-DE"/>
        </w:rPr>
        <w:t>Disaster</w:t>
      </w:r>
      <w:proofErr w:type="spellEnd"/>
      <w:r w:rsidRPr="00C11D35">
        <w:rPr>
          <w:rFonts w:asciiTheme="minorHAnsi" w:hAnsiTheme="minorHAnsi" w:cstheme="minorHAnsi"/>
          <w:i/>
          <w:iCs/>
          <w:lang w:eastAsia="de-DE"/>
        </w:rPr>
        <w:t xml:space="preserve"> </w:t>
      </w:r>
      <w:proofErr w:type="spellStart"/>
      <w:r w:rsidRPr="00C11D35">
        <w:rPr>
          <w:rFonts w:asciiTheme="minorHAnsi" w:hAnsiTheme="minorHAnsi" w:cstheme="minorHAnsi"/>
          <w:i/>
          <w:iCs/>
          <w:lang w:eastAsia="de-DE"/>
        </w:rPr>
        <w:t>Recovery</w:t>
      </w:r>
      <w:proofErr w:type="spellEnd"/>
      <w:r w:rsidRPr="00C11D35">
        <w:rPr>
          <w:rFonts w:asciiTheme="minorHAnsi" w:hAnsiTheme="minorHAnsi" w:cstheme="minorHAnsi"/>
          <w:i/>
          <w:iCs/>
          <w:lang w:eastAsia="de-DE"/>
        </w:rPr>
        <w:t xml:space="preserve"> </w:t>
      </w:r>
      <w:proofErr w:type="spellStart"/>
      <w:r w:rsidRPr="00C11D35">
        <w:rPr>
          <w:rFonts w:asciiTheme="minorHAnsi" w:hAnsiTheme="minorHAnsi" w:cstheme="minorHAnsi"/>
          <w:i/>
          <w:iCs/>
          <w:lang w:eastAsia="de-DE"/>
        </w:rPr>
        <w:t>Plan</w:t>
      </w:r>
      <w:proofErr w:type="spellEnd"/>
      <w:r w:rsidRPr="00C11D35">
        <w:rPr>
          <w:rFonts w:asciiTheme="minorHAnsi" w:hAnsiTheme="minorHAnsi" w:cstheme="minorHAnsi"/>
          <w:lang w:eastAsia="de-DE"/>
        </w:rPr>
        <w:t>)</w:t>
      </w:r>
    </w:p>
    <w:p w14:paraId="67EB7E7C" w14:textId="77777777" w:rsidR="004F75CA" w:rsidRPr="00C11D35" w:rsidRDefault="004F75CA" w:rsidP="004F75CA">
      <w:pPr>
        <w:pStyle w:val="Odstavecseseznamem"/>
        <w:widowControl w:val="0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lang w:eastAsia="de-DE"/>
        </w:rPr>
      </w:pPr>
      <w:r w:rsidRPr="00C11D35">
        <w:rPr>
          <w:rFonts w:asciiTheme="minorHAnsi" w:hAnsiTheme="minorHAnsi" w:cstheme="minorHAnsi"/>
          <w:lang w:eastAsia="de-DE"/>
        </w:rPr>
        <w:t>Průběžná účast na pravidelných aktivitách ISMS (např. přezkoumání dodavatelů, přístupových práv)</w:t>
      </w:r>
    </w:p>
    <w:p w14:paraId="50603E2D" w14:textId="77777777" w:rsidR="004F75CA" w:rsidRPr="00C11D35" w:rsidRDefault="004F75CA" w:rsidP="004F75CA">
      <w:pPr>
        <w:pStyle w:val="Odstavecseseznamem"/>
        <w:widowControl w:val="0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lang w:eastAsia="de-DE"/>
        </w:rPr>
      </w:pPr>
      <w:r w:rsidRPr="00C11D35">
        <w:rPr>
          <w:rFonts w:asciiTheme="minorHAnsi" w:hAnsiTheme="minorHAnsi" w:cstheme="minorHAnsi"/>
          <w:lang w:eastAsia="de-DE"/>
        </w:rPr>
        <w:t>Řešení bezpečnostních incidentů a incident response včetně tvorby post-</w:t>
      </w:r>
      <w:proofErr w:type="spellStart"/>
      <w:r w:rsidRPr="00C11D35">
        <w:rPr>
          <w:rFonts w:asciiTheme="minorHAnsi" w:hAnsiTheme="minorHAnsi" w:cstheme="minorHAnsi"/>
          <w:lang w:eastAsia="de-DE"/>
        </w:rPr>
        <w:t>mortem</w:t>
      </w:r>
      <w:proofErr w:type="spellEnd"/>
      <w:r w:rsidRPr="00C11D35">
        <w:rPr>
          <w:rFonts w:asciiTheme="minorHAnsi" w:hAnsiTheme="minorHAnsi" w:cstheme="minorHAnsi"/>
          <w:lang w:eastAsia="de-DE"/>
        </w:rPr>
        <w:t xml:space="preserve"> analýz a zajištění nápravných opatření</w:t>
      </w:r>
    </w:p>
    <w:p w14:paraId="173E2A1A" w14:textId="77777777" w:rsidR="004F75CA" w:rsidRPr="00C11D35" w:rsidRDefault="004F75CA" w:rsidP="004F75CA">
      <w:pPr>
        <w:pStyle w:val="Odstavecseseznamem"/>
        <w:widowControl w:val="0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lang w:eastAsia="de-DE"/>
        </w:rPr>
      </w:pPr>
      <w:r w:rsidRPr="00C11D35">
        <w:rPr>
          <w:rFonts w:asciiTheme="minorHAnsi" w:hAnsiTheme="minorHAnsi" w:cstheme="minorHAnsi"/>
          <w:lang w:eastAsia="de-DE"/>
        </w:rPr>
        <w:lastRenderedPageBreak/>
        <w:t>Podíl na interních a externích auditech včetně koordinace</w:t>
      </w:r>
    </w:p>
    <w:p w14:paraId="46E1F48C" w14:textId="77777777" w:rsidR="004F75CA" w:rsidRPr="00C11D35" w:rsidRDefault="004F75CA" w:rsidP="004F75CA">
      <w:pPr>
        <w:pStyle w:val="Odstavecseseznamem"/>
        <w:widowControl w:val="0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lang w:eastAsia="de-DE"/>
        </w:rPr>
      </w:pPr>
      <w:r w:rsidRPr="00C11D35">
        <w:rPr>
          <w:rFonts w:asciiTheme="minorHAnsi" w:hAnsiTheme="minorHAnsi" w:cstheme="minorHAnsi"/>
          <w:lang w:eastAsia="de-DE"/>
        </w:rPr>
        <w:t>Poskytování pokynů pro zajištění bezpečnosti informací při vytváření, hodnocení, výběru, řízení a ukončení dodavatelských vztahů v oblasti ICT</w:t>
      </w:r>
    </w:p>
    <w:p w14:paraId="656F752D" w14:textId="77777777" w:rsidR="004F75CA" w:rsidRPr="00C11D35" w:rsidRDefault="004F75CA" w:rsidP="004F75CA">
      <w:pPr>
        <w:pStyle w:val="Odstavecseseznamem"/>
        <w:widowControl w:val="0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lang w:eastAsia="de-DE"/>
        </w:rPr>
      </w:pPr>
      <w:r w:rsidRPr="00C11D35">
        <w:rPr>
          <w:rFonts w:asciiTheme="minorHAnsi" w:hAnsiTheme="minorHAnsi" w:cstheme="minorHAnsi"/>
          <w:lang w:eastAsia="de-DE"/>
        </w:rPr>
        <w:t>Příprava a předložení následujících dokumentů:</w:t>
      </w:r>
    </w:p>
    <w:p w14:paraId="7FEF22C6" w14:textId="77777777" w:rsidR="004F75CA" w:rsidRPr="00C11D35" w:rsidRDefault="004F75CA" w:rsidP="004F75CA">
      <w:pPr>
        <w:pStyle w:val="Odstavecseseznamem"/>
        <w:widowControl w:val="0"/>
        <w:numPr>
          <w:ilvl w:val="1"/>
          <w:numId w:val="4"/>
        </w:numPr>
        <w:spacing w:line="276" w:lineRule="auto"/>
        <w:jc w:val="both"/>
        <w:rPr>
          <w:rFonts w:asciiTheme="minorHAnsi" w:hAnsiTheme="minorHAnsi" w:cstheme="minorHAnsi"/>
          <w:lang w:eastAsia="de-DE"/>
        </w:rPr>
      </w:pPr>
      <w:r w:rsidRPr="00C11D35">
        <w:rPr>
          <w:rFonts w:asciiTheme="minorHAnsi" w:hAnsiTheme="minorHAnsi" w:cstheme="minorHAnsi"/>
          <w:lang w:eastAsia="de-DE"/>
        </w:rPr>
        <w:t>Zpráva o hodnocení aktiv a rizik</w:t>
      </w:r>
    </w:p>
    <w:p w14:paraId="1416078F" w14:textId="77777777" w:rsidR="004F75CA" w:rsidRPr="00C11D35" w:rsidRDefault="004F75CA" w:rsidP="004F75CA">
      <w:pPr>
        <w:pStyle w:val="Odstavecseseznamem"/>
        <w:widowControl w:val="0"/>
        <w:numPr>
          <w:ilvl w:val="1"/>
          <w:numId w:val="4"/>
        </w:numPr>
        <w:spacing w:line="276" w:lineRule="auto"/>
        <w:jc w:val="both"/>
        <w:rPr>
          <w:rFonts w:asciiTheme="minorHAnsi" w:hAnsiTheme="minorHAnsi" w:cstheme="minorHAnsi"/>
          <w:lang w:eastAsia="de-DE"/>
        </w:rPr>
      </w:pPr>
      <w:r w:rsidRPr="00C11D35">
        <w:rPr>
          <w:rFonts w:asciiTheme="minorHAnsi" w:hAnsiTheme="minorHAnsi" w:cstheme="minorHAnsi"/>
          <w:lang w:eastAsia="de-DE"/>
        </w:rPr>
        <w:t>Plán zvládání rizik</w:t>
      </w:r>
    </w:p>
    <w:p w14:paraId="2C2CB5B8" w14:textId="77777777" w:rsidR="004F75CA" w:rsidRPr="00C11D35" w:rsidRDefault="004F75CA" w:rsidP="004F75CA">
      <w:pPr>
        <w:pStyle w:val="Odstavecseseznamem"/>
        <w:widowControl w:val="0"/>
        <w:numPr>
          <w:ilvl w:val="1"/>
          <w:numId w:val="4"/>
        </w:numPr>
        <w:spacing w:line="276" w:lineRule="auto"/>
        <w:jc w:val="both"/>
        <w:rPr>
          <w:rFonts w:asciiTheme="minorHAnsi" w:hAnsiTheme="minorHAnsi" w:cstheme="minorHAnsi"/>
          <w:lang w:eastAsia="de-DE"/>
        </w:rPr>
      </w:pPr>
      <w:r w:rsidRPr="00C11D35">
        <w:rPr>
          <w:rFonts w:asciiTheme="minorHAnsi" w:hAnsiTheme="minorHAnsi" w:cstheme="minorHAnsi"/>
          <w:lang w:eastAsia="de-DE"/>
        </w:rPr>
        <w:t>Přezkoumání ISMS managementem společnosti</w:t>
      </w:r>
    </w:p>
    <w:p w14:paraId="4A44133C" w14:textId="77777777" w:rsidR="004F75CA" w:rsidRPr="00C11D35" w:rsidRDefault="004F75CA" w:rsidP="004F75CA">
      <w:pPr>
        <w:pStyle w:val="Odstavecseseznamem"/>
        <w:widowControl w:val="0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lang w:eastAsia="de-DE"/>
        </w:rPr>
      </w:pPr>
      <w:r w:rsidRPr="00C11D35">
        <w:rPr>
          <w:rFonts w:asciiTheme="minorHAnsi" w:hAnsiTheme="minorHAnsi" w:cstheme="minorHAnsi"/>
          <w:lang w:eastAsia="de-DE"/>
        </w:rPr>
        <w:t>Vyhodnocování vhodnosti a účinnosti zavedených bezpečnostních opatření</w:t>
      </w:r>
    </w:p>
    <w:p w14:paraId="30A2B1E6" w14:textId="77777777" w:rsidR="004F75CA" w:rsidRPr="00C11D35" w:rsidRDefault="004F75CA" w:rsidP="004F75CA">
      <w:pPr>
        <w:pStyle w:val="Odstavecseseznamem"/>
        <w:widowControl w:val="0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lang w:eastAsia="de-DE"/>
        </w:rPr>
      </w:pPr>
      <w:r w:rsidRPr="00C11D35">
        <w:rPr>
          <w:rFonts w:asciiTheme="minorHAnsi" w:hAnsiTheme="minorHAnsi" w:cstheme="minorHAnsi"/>
          <w:lang w:eastAsia="de-DE"/>
        </w:rPr>
        <w:t>Dohled nad implementací technických opatření vyplývajících z dokumentů ISMS</w:t>
      </w:r>
    </w:p>
    <w:p w14:paraId="6C8F9ADF" w14:textId="5FC20570" w:rsidR="004F75CA" w:rsidRPr="00C11D35" w:rsidRDefault="004F75CA" w:rsidP="004F75CA">
      <w:pPr>
        <w:pStyle w:val="Odstavecseseznamem"/>
        <w:widowControl w:val="0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lang w:eastAsia="de-DE"/>
        </w:rPr>
      </w:pPr>
      <w:r w:rsidRPr="00C11D35">
        <w:rPr>
          <w:rFonts w:asciiTheme="minorHAnsi" w:hAnsiTheme="minorHAnsi" w:cstheme="minorHAnsi"/>
          <w:lang w:eastAsia="de-DE"/>
        </w:rPr>
        <w:t xml:space="preserve">Pravidelný </w:t>
      </w:r>
      <w:r w:rsidR="008F1D84">
        <w:rPr>
          <w:rFonts w:asciiTheme="minorHAnsi" w:hAnsiTheme="minorHAnsi" w:cstheme="minorHAnsi"/>
          <w:lang w:eastAsia="de-DE"/>
        </w:rPr>
        <w:t xml:space="preserve">dohled nad stavem </w:t>
      </w:r>
      <w:r w:rsidRPr="00C11D35">
        <w:rPr>
          <w:rFonts w:asciiTheme="minorHAnsi" w:hAnsiTheme="minorHAnsi" w:cstheme="minorHAnsi"/>
          <w:lang w:eastAsia="de-DE"/>
        </w:rPr>
        <w:t>zranitelnost</w:t>
      </w:r>
      <w:r w:rsidR="008F1D84">
        <w:rPr>
          <w:rFonts w:asciiTheme="minorHAnsi" w:hAnsiTheme="minorHAnsi" w:cstheme="minorHAnsi"/>
          <w:lang w:eastAsia="de-DE"/>
        </w:rPr>
        <w:t>i</w:t>
      </w:r>
    </w:p>
    <w:p w14:paraId="5C354071" w14:textId="77777777" w:rsidR="004F75CA" w:rsidRPr="00C11D35" w:rsidRDefault="004F75CA" w:rsidP="004F75CA">
      <w:pPr>
        <w:pStyle w:val="Odstavecseseznamem"/>
        <w:widowControl w:val="0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lang w:eastAsia="de-DE"/>
        </w:rPr>
      </w:pPr>
      <w:r w:rsidRPr="00C11D35">
        <w:rPr>
          <w:rFonts w:asciiTheme="minorHAnsi" w:hAnsiTheme="minorHAnsi" w:cstheme="minorHAnsi"/>
          <w:lang w:eastAsia="de-DE"/>
        </w:rPr>
        <w:t xml:space="preserve">Dohled nad činností bezpečnostního dohledového centra (SOC), včetně hodnocení kvality poskytovaných služeb, koordinace skenování technických zranitelností a vedení cvičných aktivit (např. </w:t>
      </w:r>
      <w:proofErr w:type="spellStart"/>
      <w:r w:rsidRPr="00C11D35">
        <w:rPr>
          <w:rFonts w:asciiTheme="minorHAnsi" w:hAnsiTheme="minorHAnsi" w:cstheme="minorHAnsi"/>
          <w:lang w:eastAsia="de-DE"/>
        </w:rPr>
        <w:t>phishingové</w:t>
      </w:r>
      <w:proofErr w:type="spellEnd"/>
      <w:r w:rsidRPr="00C11D35">
        <w:rPr>
          <w:rFonts w:asciiTheme="minorHAnsi" w:hAnsiTheme="minorHAnsi" w:cstheme="minorHAnsi"/>
          <w:lang w:eastAsia="de-DE"/>
        </w:rPr>
        <w:t xml:space="preserve"> kampaně)</w:t>
      </w:r>
    </w:p>
    <w:p w14:paraId="01F60A64" w14:textId="77777777" w:rsidR="004F75CA" w:rsidRPr="00C11D35" w:rsidRDefault="004F75CA" w:rsidP="004F75CA">
      <w:pPr>
        <w:pStyle w:val="Odstavecseseznamem"/>
        <w:widowControl w:val="0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lang w:eastAsia="de-DE"/>
        </w:rPr>
      </w:pPr>
      <w:r w:rsidRPr="00C11D35">
        <w:rPr>
          <w:rFonts w:asciiTheme="minorHAnsi" w:hAnsiTheme="minorHAnsi" w:cstheme="minorHAnsi"/>
          <w:lang w:eastAsia="de-DE"/>
        </w:rPr>
        <w:t>Koordinace implementace opatření a procesů vyplývajících z nových legislativních požadavků</w:t>
      </w:r>
    </w:p>
    <w:p w14:paraId="56F961EA" w14:textId="77777777" w:rsidR="004F75CA" w:rsidRPr="00C11D35" w:rsidRDefault="004F75CA" w:rsidP="004F75CA">
      <w:pPr>
        <w:pStyle w:val="Odstavecseseznamem"/>
        <w:widowControl w:val="0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lang w:eastAsia="de-DE"/>
        </w:rPr>
      </w:pPr>
      <w:r w:rsidRPr="00C11D35">
        <w:rPr>
          <w:rFonts w:asciiTheme="minorHAnsi" w:hAnsiTheme="minorHAnsi" w:cstheme="minorHAnsi"/>
          <w:lang w:eastAsia="de-DE"/>
        </w:rPr>
        <w:t>Spolupráce při zavádění ISMS v organizaci</w:t>
      </w:r>
    </w:p>
    <w:p w14:paraId="382E21B5" w14:textId="77777777" w:rsidR="004F75CA" w:rsidRPr="00C11D35" w:rsidRDefault="004F75CA" w:rsidP="004F75CA">
      <w:pPr>
        <w:pStyle w:val="Odstavecseseznamem"/>
        <w:widowControl w:val="0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lang w:eastAsia="de-DE"/>
        </w:rPr>
      </w:pPr>
      <w:r w:rsidRPr="00C11D35">
        <w:rPr>
          <w:rFonts w:asciiTheme="minorHAnsi" w:hAnsiTheme="minorHAnsi" w:cstheme="minorHAnsi"/>
          <w:lang w:eastAsia="de-DE"/>
        </w:rPr>
        <w:t>Manažer kybernetické bezpečnosti navštěvuje fyzicky organizaci dle domluveného rozsahu, minimální frekvence návštěv je stanovena jednou měsíčně</w:t>
      </w:r>
    </w:p>
    <w:p w14:paraId="5CCFE31C" w14:textId="77777777" w:rsidR="004F75CA" w:rsidRPr="00C11D35" w:rsidRDefault="004F75CA" w:rsidP="004F75CA">
      <w:pPr>
        <w:pStyle w:val="Odstavecseseznamem"/>
        <w:widowControl w:val="0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lang w:eastAsia="de-DE"/>
        </w:rPr>
      </w:pPr>
      <w:r w:rsidRPr="00C11D35">
        <w:rPr>
          <w:rFonts w:asciiTheme="minorHAnsi" w:hAnsiTheme="minorHAnsi" w:cstheme="minorHAnsi"/>
          <w:lang w:eastAsia="de-DE"/>
        </w:rPr>
        <w:t>Zbylá kapacita je ve vzdáleném režimu</w:t>
      </w:r>
    </w:p>
    <w:p w14:paraId="2E489884" w14:textId="77777777" w:rsidR="004F75CA" w:rsidRPr="00C11D35" w:rsidRDefault="004F75CA" w:rsidP="004F75CA">
      <w:pPr>
        <w:pStyle w:val="Odstavecseseznamem"/>
        <w:widowControl w:val="0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lang w:eastAsia="de-DE"/>
        </w:rPr>
      </w:pPr>
      <w:r w:rsidRPr="00C11D35">
        <w:rPr>
          <w:rFonts w:asciiTheme="minorHAnsi" w:hAnsiTheme="minorHAnsi" w:cstheme="minorHAnsi"/>
          <w:lang w:eastAsia="de-DE"/>
        </w:rPr>
        <w:t xml:space="preserve">V případě bezpečnostního incidentu manažer reaguje v režimu </w:t>
      </w:r>
      <w:proofErr w:type="spellStart"/>
      <w:r w:rsidRPr="00C11D35">
        <w:rPr>
          <w:rFonts w:asciiTheme="minorHAnsi" w:hAnsiTheme="minorHAnsi" w:cstheme="minorHAnsi"/>
          <w:i/>
          <w:iCs/>
          <w:lang w:eastAsia="de-DE"/>
        </w:rPr>
        <w:t>next</w:t>
      </w:r>
      <w:proofErr w:type="spellEnd"/>
      <w:r w:rsidRPr="00C11D35">
        <w:rPr>
          <w:rFonts w:asciiTheme="minorHAnsi" w:hAnsiTheme="minorHAnsi" w:cstheme="minorHAnsi"/>
          <w:i/>
          <w:iCs/>
          <w:lang w:eastAsia="de-DE"/>
        </w:rPr>
        <w:t>-business-</w:t>
      </w:r>
      <w:proofErr w:type="spellStart"/>
      <w:r w:rsidRPr="00C11D35">
        <w:rPr>
          <w:rFonts w:asciiTheme="minorHAnsi" w:hAnsiTheme="minorHAnsi" w:cstheme="minorHAnsi"/>
          <w:i/>
          <w:iCs/>
          <w:lang w:eastAsia="de-DE"/>
        </w:rPr>
        <w:t>day</w:t>
      </w:r>
      <w:proofErr w:type="spellEnd"/>
      <w:r w:rsidRPr="00C11D35">
        <w:rPr>
          <w:rFonts w:asciiTheme="minorHAnsi" w:hAnsiTheme="minorHAnsi" w:cstheme="minorHAnsi"/>
          <w:lang w:eastAsia="de-DE"/>
        </w:rPr>
        <w:t xml:space="preserve"> nebo dle předem domluvených podmínek</w:t>
      </w:r>
    </w:p>
    <w:p w14:paraId="320FD6A5" w14:textId="77777777" w:rsidR="004F75CA" w:rsidRPr="00C11D35" w:rsidRDefault="004F75CA" w:rsidP="004F75CA">
      <w:pPr>
        <w:pStyle w:val="Odstavecseseznamem"/>
        <w:rPr>
          <w:rFonts w:asciiTheme="minorHAnsi" w:hAnsiTheme="minorHAnsi" w:cstheme="minorHAnsi"/>
          <w:lang w:eastAsia="de-DE"/>
        </w:rPr>
      </w:pPr>
    </w:p>
    <w:p w14:paraId="24AA57DA" w14:textId="77777777" w:rsidR="004F75CA" w:rsidRPr="00C11D35" w:rsidRDefault="004F75CA" w:rsidP="004F75CA">
      <w:pPr>
        <w:pStyle w:val="Odstavecseseznamem"/>
        <w:widowControl w:val="0"/>
        <w:spacing w:line="276" w:lineRule="auto"/>
        <w:jc w:val="both"/>
        <w:rPr>
          <w:rFonts w:asciiTheme="minorHAnsi" w:hAnsiTheme="minorHAnsi" w:cstheme="minorHAnsi"/>
          <w:lang w:eastAsia="de-DE"/>
        </w:rPr>
      </w:pPr>
    </w:p>
    <w:p w14:paraId="35F90CDB" w14:textId="77777777" w:rsidR="004F75CA" w:rsidRPr="00C11D35" w:rsidRDefault="004F75CA" w:rsidP="00C11D35">
      <w:pPr>
        <w:spacing w:after="240"/>
        <w:ind w:firstLine="0"/>
        <w:jc w:val="both"/>
        <w:rPr>
          <w:rFonts w:asciiTheme="minorHAnsi" w:hAnsiTheme="minorHAnsi" w:cstheme="minorHAnsi"/>
          <w:b/>
          <w:szCs w:val="22"/>
          <w:u w:val="single"/>
        </w:rPr>
      </w:pPr>
      <w:bookmarkStart w:id="1" w:name="_Toc203996804"/>
      <w:r w:rsidRPr="00C11D35">
        <w:rPr>
          <w:rFonts w:asciiTheme="minorHAnsi" w:hAnsiTheme="minorHAnsi" w:cstheme="minorHAnsi"/>
          <w:b/>
          <w:szCs w:val="22"/>
          <w:u w:val="single"/>
        </w:rPr>
        <w:t>Aktivity zajišťované vůči NÚKIBu</w:t>
      </w:r>
      <w:bookmarkEnd w:id="1"/>
    </w:p>
    <w:p w14:paraId="2E6EEC0D" w14:textId="77777777" w:rsidR="004F75CA" w:rsidRPr="00C11D35" w:rsidRDefault="004F75CA" w:rsidP="004F75CA">
      <w:pPr>
        <w:pStyle w:val="Odstavecseseznamem"/>
        <w:widowControl w:val="0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lang w:eastAsia="de-DE"/>
        </w:rPr>
      </w:pPr>
      <w:r w:rsidRPr="00C11D35">
        <w:rPr>
          <w:rFonts w:asciiTheme="minorHAnsi" w:hAnsiTheme="minorHAnsi" w:cstheme="minorHAnsi"/>
          <w:lang w:eastAsia="de-DE"/>
        </w:rPr>
        <w:t>Ohlášení poskytování regulované služby NÚKIB</w:t>
      </w:r>
    </w:p>
    <w:p w14:paraId="706274EE" w14:textId="77777777" w:rsidR="004F75CA" w:rsidRPr="00C11D35" w:rsidRDefault="004F75CA" w:rsidP="004F75CA">
      <w:pPr>
        <w:pStyle w:val="Odstavecseseznamem"/>
        <w:widowControl w:val="0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lang w:eastAsia="de-DE"/>
        </w:rPr>
      </w:pPr>
      <w:r w:rsidRPr="00C11D35">
        <w:rPr>
          <w:rFonts w:asciiTheme="minorHAnsi" w:hAnsiTheme="minorHAnsi" w:cstheme="minorHAnsi"/>
          <w:lang w:eastAsia="de-DE"/>
        </w:rPr>
        <w:t>Nahlášení kontaktních údajů osob odpovědných za kybernetickou bezpečnost</w:t>
      </w:r>
    </w:p>
    <w:p w14:paraId="0C2CAFDF" w14:textId="77777777" w:rsidR="004F75CA" w:rsidRPr="00C11D35" w:rsidRDefault="004F75CA" w:rsidP="004F75CA">
      <w:pPr>
        <w:pStyle w:val="Odstavecseseznamem"/>
        <w:widowControl w:val="0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lang w:eastAsia="de-DE"/>
        </w:rPr>
      </w:pPr>
      <w:r w:rsidRPr="00C11D35">
        <w:rPr>
          <w:rFonts w:asciiTheme="minorHAnsi" w:hAnsiTheme="minorHAnsi" w:cstheme="minorHAnsi"/>
          <w:lang w:eastAsia="de-DE"/>
        </w:rPr>
        <w:t>Stanovení rozsahu řízení kybernetické bezpečnosti a informování NÚKIB</w:t>
      </w:r>
    </w:p>
    <w:p w14:paraId="2963B696" w14:textId="77777777" w:rsidR="004F75CA" w:rsidRPr="00C11D35" w:rsidRDefault="004F75CA" w:rsidP="004F75CA">
      <w:pPr>
        <w:pStyle w:val="Odstavecseseznamem"/>
        <w:widowControl w:val="0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lang w:eastAsia="de-DE"/>
        </w:rPr>
      </w:pPr>
      <w:r w:rsidRPr="00C11D35">
        <w:rPr>
          <w:rFonts w:asciiTheme="minorHAnsi" w:hAnsiTheme="minorHAnsi" w:cstheme="minorHAnsi"/>
          <w:lang w:eastAsia="de-DE"/>
        </w:rPr>
        <w:t>Hlášení kybernetických bezpečnostních incidentů do NÚKIB, včetně kompletní správy komunikace během incidentu</w:t>
      </w:r>
    </w:p>
    <w:p w14:paraId="71605149" w14:textId="77777777" w:rsidR="004F75CA" w:rsidRPr="00C11D35" w:rsidRDefault="004F75CA" w:rsidP="004F75CA">
      <w:pPr>
        <w:pStyle w:val="Odstavecseseznamem"/>
        <w:widowControl w:val="0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lang w:eastAsia="de-DE"/>
        </w:rPr>
      </w:pPr>
      <w:r w:rsidRPr="00C11D35">
        <w:rPr>
          <w:rFonts w:asciiTheme="minorHAnsi" w:hAnsiTheme="minorHAnsi" w:cstheme="minorHAnsi"/>
          <w:lang w:eastAsia="de-DE"/>
        </w:rPr>
        <w:t>Informování o incidentech a kybernetických hrozbách dle zákonných požadavků</w:t>
      </w:r>
    </w:p>
    <w:p w14:paraId="171B5196" w14:textId="77777777" w:rsidR="004F75CA" w:rsidRPr="00C11D35" w:rsidRDefault="004F75CA" w:rsidP="004F75CA">
      <w:pPr>
        <w:pStyle w:val="Odstavecseseznamem"/>
        <w:widowControl w:val="0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lang w:eastAsia="de-DE"/>
        </w:rPr>
      </w:pPr>
      <w:r w:rsidRPr="00C11D35">
        <w:rPr>
          <w:rFonts w:asciiTheme="minorHAnsi" w:hAnsiTheme="minorHAnsi" w:cstheme="minorHAnsi"/>
          <w:lang w:eastAsia="de-DE"/>
        </w:rPr>
        <w:t>Pravidelné monitorování bezpečnostních opatření a implementace protiopatření vydaných NÚKIB</w:t>
      </w:r>
    </w:p>
    <w:p w14:paraId="0E15A8E8" w14:textId="77777777" w:rsidR="004F75CA" w:rsidRPr="00C11D35" w:rsidRDefault="004F75CA" w:rsidP="004F75CA">
      <w:pPr>
        <w:pStyle w:val="Odstavecseseznamem"/>
        <w:widowControl w:val="0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lang w:eastAsia="de-DE"/>
        </w:rPr>
      </w:pPr>
      <w:r w:rsidRPr="00C11D35">
        <w:rPr>
          <w:rFonts w:asciiTheme="minorHAnsi" w:hAnsiTheme="minorHAnsi" w:cstheme="minorHAnsi"/>
          <w:lang w:eastAsia="de-DE"/>
        </w:rPr>
        <w:t>Udržování souladu s požadavky zákona o kybernetické bezpečnosti a pravidelné zajišťování aktualizací bezpečnostních politik dle aktuálního vývoje hrozeb a regulací</w:t>
      </w:r>
    </w:p>
    <w:p w14:paraId="6FFD95B5" w14:textId="77777777" w:rsidR="004F75CA" w:rsidRPr="00C11D35" w:rsidRDefault="004F75CA" w:rsidP="004F75CA">
      <w:pPr>
        <w:pStyle w:val="Odstavecseseznamem"/>
        <w:widowControl w:val="0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lang w:eastAsia="de-DE"/>
        </w:rPr>
      </w:pPr>
      <w:r w:rsidRPr="00C11D35">
        <w:rPr>
          <w:rFonts w:asciiTheme="minorHAnsi" w:hAnsiTheme="minorHAnsi" w:cstheme="minorHAnsi"/>
          <w:lang w:eastAsia="de-DE"/>
        </w:rPr>
        <w:t>Zajištění připravenosti organizace na kontrolu kybernetické bezpečnosti prováděnou NÚKIB</w:t>
      </w:r>
    </w:p>
    <w:p w14:paraId="1E61ACDA" w14:textId="77777777" w:rsidR="00D178DA" w:rsidRPr="00C11D35" w:rsidRDefault="00D178DA">
      <w:pPr>
        <w:rPr>
          <w:rFonts w:asciiTheme="minorHAnsi" w:hAnsiTheme="minorHAnsi" w:cstheme="minorHAnsi"/>
          <w:szCs w:val="22"/>
        </w:rPr>
      </w:pPr>
    </w:p>
    <w:sectPr w:rsidR="00D178DA" w:rsidRPr="00C11D35" w:rsidSect="004F75CA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843" w:right="1416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2E6531" w14:textId="77777777" w:rsidR="004F75CA" w:rsidRDefault="004F75CA" w:rsidP="004F75CA">
      <w:pPr>
        <w:spacing w:before="0"/>
      </w:pPr>
      <w:r>
        <w:separator/>
      </w:r>
    </w:p>
  </w:endnote>
  <w:endnote w:type="continuationSeparator" w:id="0">
    <w:p w14:paraId="7FC51019" w14:textId="77777777" w:rsidR="004F75CA" w:rsidRDefault="004F75CA" w:rsidP="004F75C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F3AB9" w14:textId="77777777" w:rsidR="00757CEA" w:rsidRDefault="00C11D35"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6710D9A1" wp14:editId="0C79D79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39850" cy="370840"/>
              <wp:effectExtent l="0" t="0" r="12700" b="0"/>
              <wp:wrapNone/>
              <wp:docPr id="149633057" name="Textové pole 2" descr="C1-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9850" cy="370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654141" w14:textId="77777777" w:rsidR="00464F0E" w:rsidRPr="00464F0E" w:rsidRDefault="00C11D35" w:rsidP="00464F0E">
                          <w:pPr>
                            <w:rPr>
                              <w:rFonts w:ascii="Calibri" w:eastAsia="Calibri" w:hAnsi="Calibri" w:cs="Calibri"/>
                              <w:noProof/>
                              <w:color w:val="F5D142"/>
                              <w:sz w:val="20"/>
                            </w:rPr>
                          </w:pPr>
                          <w:r w:rsidRPr="00464F0E">
                            <w:rPr>
                              <w:rFonts w:ascii="Calibri" w:eastAsia="Calibri" w:hAnsi="Calibri" w:cs="Calibri"/>
                              <w:noProof/>
                              <w:color w:val="F5D142"/>
                              <w:sz w:val="20"/>
                            </w:rPr>
                            <w:t>C1-Internal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10D9A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C1-Internal Use" style="position:absolute;left:0;text-align:left;margin-left:0;margin-top:0;width:105.5pt;height:29.2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" filled="f" stroked="f">
              <v:textbox style="mso-fit-shape-to-text:t" inset="0,0,0,15pt">
                <w:txbxContent>
                  <w:p w14:paraId="6E654141" w14:textId="77777777" w:rsidR="00464F0E" w:rsidRPr="00464F0E" w:rsidRDefault="00C11D35" w:rsidP="00464F0E">
                    <w:pPr>
                      <w:rPr>
                        <w:rFonts w:ascii="Calibri" w:eastAsia="Calibri" w:hAnsi="Calibri" w:cs="Calibri"/>
                        <w:noProof/>
                        <w:color w:val="F5D142"/>
                        <w:sz w:val="20"/>
                      </w:rPr>
                    </w:pPr>
                    <w:r w:rsidRPr="00464F0E">
                      <w:rPr>
                        <w:rFonts w:ascii="Calibri" w:eastAsia="Calibri" w:hAnsi="Calibri" w:cs="Calibri"/>
                        <w:noProof/>
                        <w:color w:val="F5D142"/>
                        <w:sz w:val="20"/>
                      </w:rPr>
                      <w:t>C1-Internal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44EB7" w14:textId="00A4B0A2" w:rsidR="00611241" w:rsidRDefault="00C11D35" w:rsidP="005C268D">
    <w:pPr>
      <w:pStyle w:val="Noparagraphstyle"/>
      <w:suppressAutoHyphens/>
      <w:rPr>
        <w:rFonts w:ascii="Arial" w:hAnsi="Arial" w:cs="Arial"/>
        <w:i/>
        <w:iCs/>
        <w:spacing w:val="9"/>
        <w:w w:val="75"/>
        <w:sz w:val="17"/>
        <w:szCs w:val="17"/>
      </w:rPr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394FCCF6" wp14:editId="4576D9CD">
              <wp:simplePos x="904875" y="105441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39850" cy="370840"/>
              <wp:effectExtent l="0" t="0" r="12700" b="0"/>
              <wp:wrapNone/>
              <wp:docPr id="406397025" name="Textové pole 3" descr="C1-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9850" cy="370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30F5BF" w14:textId="54C36FF9" w:rsidR="00464F0E" w:rsidRPr="00464F0E" w:rsidRDefault="008F1D84" w:rsidP="004F75CA">
                          <w:pPr>
                            <w:ind w:firstLine="0"/>
                            <w:rPr>
                              <w:rFonts w:ascii="Calibri" w:eastAsia="Calibri" w:hAnsi="Calibri" w:cs="Calibri"/>
                              <w:noProof/>
                              <w:color w:val="F5D142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4FCCF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C1-Internal Use" style="position:absolute;margin-left:0;margin-top:0;width:105.5pt;height:29.2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" filled="f" stroked="f">
              <v:textbox style="mso-fit-shape-to-text:t" inset="0,0,0,15pt">
                <w:txbxContent>
                  <w:p w14:paraId="3D30F5BF" w14:textId="54C36FF9" w:rsidR="00464F0E" w:rsidRPr="00464F0E" w:rsidRDefault="00C11D35" w:rsidP="004F75CA">
                    <w:pPr>
                      <w:ind w:firstLine="0"/>
                      <w:rPr>
                        <w:rFonts w:ascii="Calibri" w:eastAsia="Calibri" w:hAnsi="Calibri" w:cs="Calibri"/>
                        <w:noProof/>
                        <w:color w:val="F5D142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F8909" w14:textId="51ECB33B" w:rsidR="00194F47" w:rsidRDefault="00C11D35" w:rsidP="005C268D">
    <w:pPr>
      <w:pStyle w:val="Noparagraphstyle"/>
      <w:suppressAutoHyphens/>
      <w:rPr>
        <w:rFonts w:ascii="Arial" w:hAnsi="Arial" w:cs="Arial"/>
        <w:i/>
        <w:iCs/>
        <w:spacing w:val="9"/>
        <w:w w:val="75"/>
        <w:sz w:val="17"/>
        <w:szCs w:val="17"/>
      </w:rPr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3EBD2BB" wp14:editId="49001637">
              <wp:simplePos x="904875" y="105441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39850" cy="370840"/>
              <wp:effectExtent l="0" t="0" r="12700" b="0"/>
              <wp:wrapNone/>
              <wp:docPr id="216935071" name="Textové pole 1" descr="C1-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9850" cy="370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57014A" w14:textId="0654E66D" w:rsidR="00464F0E" w:rsidRPr="00464F0E" w:rsidRDefault="008F1D84" w:rsidP="00464F0E">
                          <w:pPr>
                            <w:rPr>
                              <w:rFonts w:ascii="Calibri" w:eastAsia="Calibri" w:hAnsi="Calibri" w:cs="Calibri"/>
                              <w:noProof/>
                              <w:color w:val="F5D142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EBD2B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C1-Internal Use" style="position:absolute;margin-left:0;margin-top:0;width:105.5pt;height:29.2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" filled="f" stroked="f">
              <v:textbox style="mso-fit-shape-to-text:t" inset="0,0,0,15pt">
                <w:txbxContent>
                  <w:p w14:paraId="1B57014A" w14:textId="0654E66D" w:rsidR="00464F0E" w:rsidRPr="00464F0E" w:rsidRDefault="00C11D35" w:rsidP="00464F0E">
                    <w:pPr>
                      <w:rPr>
                        <w:rFonts w:ascii="Calibri" w:eastAsia="Calibri" w:hAnsi="Calibri" w:cs="Calibri"/>
                        <w:noProof/>
                        <w:color w:val="F5D142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83D0CB" w14:textId="77777777" w:rsidR="004F75CA" w:rsidRDefault="004F75CA" w:rsidP="004F75CA">
      <w:pPr>
        <w:spacing w:before="0"/>
      </w:pPr>
      <w:r>
        <w:separator/>
      </w:r>
    </w:p>
  </w:footnote>
  <w:footnote w:type="continuationSeparator" w:id="0">
    <w:p w14:paraId="019DB7D4" w14:textId="77777777" w:rsidR="004F75CA" w:rsidRDefault="004F75CA" w:rsidP="004F75C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08B10" w14:textId="35EFF73D" w:rsidR="00611241" w:rsidRPr="00194F47" w:rsidRDefault="008F1D84" w:rsidP="00194F47">
    <w:pPr>
      <w:pStyle w:val="Zhlav"/>
      <w:ind w:firstLine="0"/>
      <w:rPr>
        <w:szCs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91328" w14:textId="10F1A7E3" w:rsidR="00194F47" w:rsidRDefault="008F1D84" w:rsidP="00522F29">
    <w:pPr>
      <w:pStyle w:val="Zhlav"/>
      <w:ind w:firstLine="0"/>
      <w:rPr>
        <w:rFonts w:cs="Arial"/>
        <w:i/>
        <w:sz w:val="19"/>
        <w:szCs w:val="19"/>
      </w:rPr>
    </w:pPr>
  </w:p>
  <w:p w14:paraId="21C272D4" w14:textId="3BBBEDCE" w:rsidR="004F75CA" w:rsidRDefault="004F75CA" w:rsidP="00522F29">
    <w:pPr>
      <w:pStyle w:val="Zhlav"/>
      <w:ind w:firstLine="0"/>
      <w:rPr>
        <w:rFonts w:cs="Arial"/>
        <w:i/>
        <w:sz w:val="19"/>
        <w:szCs w:val="19"/>
      </w:rPr>
    </w:pPr>
  </w:p>
  <w:p w14:paraId="339ED9EB" w14:textId="701ADD4B" w:rsidR="004F75CA" w:rsidRDefault="004F75CA" w:rsidP="00522F29">
    <w:pPr>
      <w:pStyle w:val="Zhlav"/>
      <w:ind w:firstLine="0"/>
      <w:rPr>
        <w:rFonts w:cs="Arial"/>
        <w:i/>
        <w:sz w:val="19"/>
        <w:szCs w:val="19"/>
      </w:rPr>
    </w:pPr>
  </w:p>
  <w:p w14:paraId="51A866AE" w14:textId="4477F25C" w:rsidR="004F75CA" w:rsidRDefault="004F75CA" w:rsidP="00522F29">
    <w:pPr>
      <w:pStyle w:val="Zhlav"/>
      <w:ind w:firstLine="0"/>
      <w:rPr>
        <w:rFonts w:cs="Arial"/>
        <w:i/>
        <w:sz w:val="19"/>
        <w:szCs w:val="19"/>
      </w:rPr>
    </w:pPr>
  </w:p>
  <w:p w14:paraId="48998265" w14:textId="0805C476" w:rsidR="004F75CA" w:rsidRPr="004F75CA" w:rsidRDefault="004F75CA" w:rsidP="00522F29">
    <w:pPr>
      <w:pStyle w:val="Zhlav"/>
      <w:ind w:firstLine="0"/>
      <w:rPr>
        <w:rFonts w:cs="Arial"/>
        <w:sz w:val="19"/>
        <w:szCs w:val="19"/>
      </w:rPr>
    </w:pPr>
    <w:r w:rsidRPr="004F75CA">
      <w:rPr>
        <w:rFonts w:cs="Arial"/>
        <w:sz w:val="19"/>
        <w:szCs w:val="19"/>
      </w:rPr>
      <w:t>Příloha č. 1 Specifikace předmětu plnění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169E7"/>
    <w:multiLevelType w:val="hybridMultilevel"/>
    <w:tmpl w:val="FE1C2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50B40"/>
    <w:multiLevelType w:val="hybridMultilevel"/>
    <w:tmpl w:val="CA54B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71131"/>
    <w:multiLevelType w:val="hybridMultilevel"/>
    <w:tmpl w:val="C0A88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25565A"/>
    <w:multiLevelType w:val="hybridMultilevel"/>
    <w:tmpl w:val="E944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2176B"/>
    <w:multiLevelType w:val="hybridMultilevel"/>
    <w:tmpl w:val="3B94F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216"/>
    <w:rsid w:val="00300216"/>
    <w:rsid w:val="004F75CA"/>
    <w:rsid w:val="008F1D84"/>
    <w:rsid w:val="00C11D35"/>
    <w:rsid w:val="00D1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A59BBF"/>
  <w15:chartTrackingRefBased/>
  <w15:docId w15:val="{07D0C4BB-7B65-48B2-BADA-958A9BA23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F75CA"/>
    <w:pPr>
      <w:spacing w:before="40" w:after="0" w:line="240" w:lineRule="auto"/>
      <w:ind w:firstLine="851"/>
    </w:pPr>
    <w:rPr>
      <w:rFonts w:ascii="Arial" w:eastAsia="Times New Roman" w:hAnsi="Arial" w:cs="Times New Roman"/>
      <w:szCs w:val="20"/>
      <w:lang w:eastAsia="cs-CZ"/>
    </w:rPr>
  </w:style>
  <w:style w:type="paragraph" w:styleId="Nadpis1">
    <w:name w:val="heading 1"/>
    <w:aliases w:val="Titre 1 Couv"/>
    <w:basedOn w:val="Zhlav"/>
    <w:next w:val="Normln"/>
    <w:link w:val="Nadpis1Char"/>
    <w:autoRedefine/>
    <w:qFormat/>
    <w:rsid w:val="004F75CA"/>
    <w:pPr>
      <w:keepNext/>
      <w:spacing w:before="360" w:after="240" w:line="276" w:lineRule="auto"/>
      <w:ind w:left="432" w:hanging="432"/>
      <w:outlineLvl w:val="0"/>
    </w:pPr>
    <w:rPr>
      <w:rFonts w:eastAsia="MS Mincho" w:cs="Arial"/>
      <w:b/>
      <w:noProof/>
      <w:color w:val="4472C4" w:themeColor="accent1"/>
      <w:sz w:val="24"/>
      <w:szCs w:val="24"/>
      <w:lang w:val="de-DE" w:eastAsia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Titre 1 Couv Char"/>
    <w:basedOn w:val="Standardnpsmoodstavce"/>
    <w:link w:val="Nadpis1"/>
    <w:rsid w:val="004F75CA"/>
    <w:rPr>
      <w:rFonts w:ascii="Arial" w:eastAsia="MS Mincho" w:hAnsi="Arial" w:cs="Arial"/>
      <w:b/>
      <w:noProof/>
      <w:color w:val="4472C4" w:themeColor="accent1"/>
      <w:sz w:val="24"/>
      <w:szCs w:val="24"/>
      <w:lang w:val="de-DE" w:eastAsia="de-DE"/>
    </w:rPr>
  </w:style>
  <w:style w:type="paragraph" w:styleId="Zhlav">
    <w:name w:val="header"/>
    <w:aliases w:val="Überschrift Deckblatt"/>
    <w:basedOn w:val="Normln"/>
    <w:link w:val="ZhlavChar"/>
    <w:uiPriority w:val="99"/>
    <w:qFormat/>
    <w:rsid w:val="004F75CA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Überschrift Deckblatt Char"/>
    <w:basedOn w:val="Standardnpsmoodstavce"/>
    <w:link w:val="Zhlav"/>
    <w:uiPriority w:val="99"/>
    <w:rsid w:val="004F75CA"/>
    <w:rPr>
      <w:rFonts w:ascii="Arial" w:eastAsia="Times New Roman" w:hAnsi="Arial" w:cs="Times New Roman"/>
      <w:szCs w:val="20"/>
      <w:lang w:eastAsia="cs-CZ"/>
    </w:rPr>
  </w:style>
  <w:style w:type="paragraph" w:customStyle="1" w:styleId="Noparagraphstyle">
    <w:name w:val="[No paragraph style]"/>
    <w:rsid w:val="004F75C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  <w:lang w:eastAsia="cs-CZ"/>
    </w:rPr>
  </w:style>
  <w:style w:type="paragraph" w:styleId="Odstavecseseznamem">
    <w:name w:val="List Paragraph"/>
    <w:aliases w:val="Punktaufzählung 1.,Standard-Überschrift 1&amp;2"/>
    <w:basedOn w:val="Normln"/>
    <w:link w:val="OdstavecseseznamemChar"/>
    <w:uiPriority w:val="34"/>
    <w:qFormat/>
    <w:rsid w:val="004F75CA"/>
    <w:pPr>
      <w:spacing w:before="0"/>
      <w:ind w:left="720" w:firstLine="0"/>
      <w:contextualSpacing/>
    </w:pPr>
    <w:rPr>
      <w:szCs w:val="22"/>
    </w:rPr>
  </w:style>
  <w:style w:type="character" w:customStyle="1" w:styleId="OdstavecseseznamemChar">
    <w:name w:val="Odstavec se seznamem Char"/>
    <w:aliases w:val="Punktaufzählung 1. Char,Standard-Überschrift 1&amp;2 Char"/>
    <w:basedOn w:val="Standardnpsmoodstavce"/>
    <w:link w:val="Odstavecseseznamem"/>
    <w:uiPriority w:val="34"/>
    <w:rsid w:val="004F75CA"/>
    <w:rPr>
      <w:rFonts w:ascii="Arial" w:eastAsia="Times New Roman" w:hAnsi="Arial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75CA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75C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634</Words>
  <Characters>3745</Characters>
  <Application>Microsoft Office Word</Application>
  <DocSecurity>0</DocSecurity>
  <Lines>31</Lines>
  <Paragraphs>8</Paragraphs>
  <ScaleCrop>false</ScaleCrop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NOVOTNÝ Jan, Ing.</dc:creator>
  <cp:keywords/>
  <dc:description/>
  <cp:lastModifiedBy>NOVOTNÝ Jan, Ing.</cp:lastModifiedBy>
  <cp:revision>4</cp:revision>
  <dcterms:created xsi:type="dcterms:W3CDTF">2025-10-21T12:46:00Z</dcterms:created>
  <dcterms:modified xsi:type="dcterms:W3CDTF">2025-11-20T11:28:00Z</dcterms:modified>
</cp:coreProperties>
</file>