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„zákon“)</w:t>
      </w:r>
    </w:p>
    <w:p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B76E6E" w:rsidRPr="0067444A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67444A" w:rsidRDefault="00545473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2260DE">
        <w:rPr>
          <w:rFonts w:cs="Arial"/>
          <w:szCs w:val="24"/>
          <w:u w:val="none"/>
        </w:rPr>
        <w:t>IT Technika</w:t>
      </w:r>
      <w:r w:rsidR="004B0CFD">
        <w:rPr>
          <w:rFonts w:cs="Arial"/>
          <w:szCs w:val="24"/>
          <w:u w:val="none"/>
        </w:rPr>
        <w:t>“</w:t>
      </w:r>
    </w:p>
    <w:p w:rsidR="006C37BF" w:rsidRPr="00577027" w:rsidRDefault="006C37BF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</w:p>
    <w:p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6916"/>
        <w:gridCol w:w="13"/>
      </w:tblGrid>
      <w:tr w:rsidR="00E13CC9" w:rsidTr="00D14398">
        <w:trPr>
          <w:gridAfter w:val="1"/>
          <w:wAfter w:w="13" w:type="dxa"/>
          <w:trHeight w:val="338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74" w:rsidRPr="001B32F5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1D74" w:rsidRPr="00D14398" w:rsidRDefault="008C1D74" w:rsidP="0076344C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14398">
              <w:rPr>
                <w:rFonts w:ascii="Arial" w:hAnsi="Arial" w:cs="Arial"/>
                <w:b/>
              </w:rPr>
              <w:t xml:space="preserve">Zdravotnická záchranná služba Jihomoravského kraje, </w:t>
            </w:r>
            <w:r w:rsidR="00094275" w:rsidRPr="00D14398">
              <w:rPr>
                <w:rFonts w:ascii="Arial" w:hAnsi="Arial" w:cs="Arial"/>
                <w:b/>
              </w:rPr>
              <w:br/>
            </w:r>
            <w:r w:rsidRPr="00D14398">
              <w:rPr>
                <w:rFonts w:ascii="Arial" w:hAnsi="Arial" w:cs="Arial"/>
                <w:b/>
              </w:rPr>
              <w:t>příspěvková organizace</w:t>
            </w:r>
          </w:p>
        </w:tc>
      </w:tr>
      <w:tr w:rsidR="00E13CC9" w:rsidTr="00D14398">
        <w:trPr>
          <w:gridAfter w:val="1"/>
          <w:wAfter w:w="13" w:type="dxa"/>
          <w:trHeight w:val="368"/>
        </w:trPr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798/1d, 625 00 Brno</w:t>
            </w:r>
          </w:p>
        </w:tc>
      </w:tr>
      <w:tr w:rsidR="00E13CC9" w:rsidTr="00D14398">
        <w:trPr>
          <w:gridAfter w:val="1"/>
          <w:wAfter w:w="13" w:type="dxa"/>
          <w:trHeight w:val="412"/>
        </w:trPr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D74" w:rsidRPr="00CF3F52" w:rsidRDefault="008C1D74" w:rsidP="00B447AB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:rsidTr="00D14398">
        <w:trPr>
          <w:gridAfter w:val="1"/>
          <w:wAfter w:w="13" w:type="dxa"/>
          <w:trHeight w:val="404"/>
        </w:trPr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D74" w:rsidRPr="0035655C" w:rsidRDefault="008C1D74" w:rsidP="009F7692">
            <w:pPr>
              <w:spacing w:line="276" w:lineRule="auto"/>
              <w:ind w:firstLine="0"/>
              <w:rPr>
                <w:rFonts w:cs="Arial"/>
                <w:sz w:val="20"/>
              </w:rPr>
            </w:pPr>
            <w:r w:rsidRPr="0035655C">
              <w:rPr>
                <w:rFonts w:cs="Arial"/>
                <w:sz w:val="20"/>
              </w:rPr>
              <w:t>E-mail: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D74" w:rsidRPr="00CF3F52" w:rsidRDefault="008C1D74" w:rsidP="00B447AB">
            <w:pPr>
              <w:ind w:firstLine="0"/>
              <w:rPr>
                <w:rFonts w:cs="Arial"/>
                <w:sz w:val="20"/>
              </w:rPr>
            </w:pPr>
            <w:r w:rsidRPr="00D14398">
              <w:rPr>
                <w:rFonts w:cs="Arial"/>
                <w:sz w:val="20"/>
              </w:rPr>
              <w:t>info@zzsjmk.cz</w:t>
            </w:r>
          </w:p>
        </w:tc>
      </w:tr>
      <w:tr w:rsidR="00E13CC9" w:rsidTr="00D14398">
        <w:trPr>
          <w:gridAfter w:val="1"/>
          <w:wAfter w:w="13" w:type="dxa"/>
          <w:trHeight w:val="376"/>
        </w:trPr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Tr="00D14398">
        <w:trPr>
          <w:gridAfter w:val="1"/>
          <w:wAfter w:w="13" w:type="dxa"/>
          <w:trHeight w:val="680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98" w:rsidRPr="00D14398" w:rsidRDefault="00D13F5E" w:rsidP="00D1439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1439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260DE">
              <w:rPr>
                <w:rFonts w:ascii="Arial" w:hAnsi="Arial" w:cs="Arial"/>
                <w:sz w:val="20"/>
                <w:szCs w:val="20"/>
              </w:rPr>
              <w:t>Marek Klíma</w:t>
            </w:r>
            <w:r w:rsidR="00D14398" w:rsidRPr="00D143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D74" w:rsidRPr="00CF3F52" w:rsidRDefault="00D14398" w:rsidP="00D1439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14398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8" w:history="1">
              <w:r w:rsidR="002260DE" w:rsidRPr="0083592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klimam@zzsjmk.cz</w:t>
              </w:r>
            </w:hyperlink>
            <w:r w:rsidRPr="00D143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205D4" w:rsidRPr="00D14398">
              <w:rPr>
                <w:rFonts w:ascii="Arial" w:hAnsi="Arial" w:cs="Arial"/>
                <w:sz w:val="20"/>
                <w:szCs w:val="20"/>
              </w:rPr>
              <w:t>tel. +420</w:t>
            </w:r>
            <w:r w:rsidR="002260DE">
              <w:rPr>
                <w:rFonts w:ascii="Arial" w:hAnsi="Arial" w:cs="Arial"/>
                <w:sz w:val="20"/>
                <w:szCs w:val="20"/>
              </w:rPr>
              <w:t> 7</w:t>
            </w:r>
            <w:r w:rsidR="002260DE">
              <w:t>76 195 936</w:t>
            </w:r>
          </w:p>
        </w:tc>
      </w:tr>
      <w:tr w:rsidR="00E13CC9" w:rsidRPr="00FA6068" w:rsidTr="00D14398">
        <w:trPr>
          <w:gridAfter w:val="1"/>
          <w:wAfter w:w="13" w:type="dxa"/>
          <w:trHeight w:val="100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1D74" w:rsidRPr="008A5D8A" w:rsidRDefault="00096B32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0A73" w:rsidRPr="00246F9D" w:rsidRDefault="00054C64" w:rsidP="00D14398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Předmětem </w:t>
            </w:r>
            <w:r w:rsidR="00443F7F">
              <w:rPr>
                <w:rFonts w:cs="Arial"/>
                <w:sz w:val="20"/>
              </w:rPr>
              <w:t>je</w:t>
            </w:r>
            <w:r w:rsidR="00797791">
              <w:rPr>
                <w:rFonts w:cs="Arial"/>
                <w:sz w:val="20"/>
              </w:rPr>
              <w:t xml:space="preserve"> </w:t>
            </w:r>
            <w:r w:rsidR="002260DE">
              <w:rPr>
                <w:rFonts w:cs="Arial"/>
                <w:sz w:val="20"/>
              </w:rPr>
              <w:t>d</w:t>
            </w:r>
            <w:r w:rsidR="002260DE" w:rsidRPr="002260DE">
              <w:rPr>
                <w:rFonts w:cs="Arial"/>
                <w:sz w:val="20"/>
              </w:rPr>
              <w:t>odávka IT techniky dle přílohy kupní smlouvy.</w:t>
            </w:r>
          </w:p>
        </w:tc>
      </w:tr>
      <w:tr w:rsidR="00E13CC9" w:rsidRPr="00A24981" w:rsidTr="00D14398">
        <w:trPr>
          <w:gridAfter w:val="1"/>
          <w:wAfter w:w="13" w:type="dxa"/>
          <w:trHeight w:val="1442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8C1D74" w:rsidRPr="007C6CEE" w:rsidRDefault="00254F3C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Lhůta 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916" w:type="dxa"/>
            <w:tcBorders>
              <w:right w:val="single" w:sz="4" w:space="0" w:color="auto"/>
            </w:tcBorders>
            <w:vAlign w:val="center"/>
          </w:tcPr>
          <w:p w:rsidR="00094275" w:rsidRDefault="00254F3C" w:rsidP="00D14398">
            <w:pPr>
              <w:pStyle w:val="Normlnweb"/>
              <w:spacing w:beforeAutospacing="0"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Plnění bude provedeno </w:t>
            </w:r>
            <w:r w:rsidR="002260DE">
              <w:rPr>
                <w:rFonts w:ascii="Arial" w:hAnsi="Arial" w:cs="Arial"/>
                <w:sz w:val="20"/>
              </w:rPr>
              <w:t>do 30. 12. 2025.</w:t>
            </w:r>
          </w:p>
          <w:p w:rsidR="00254F3C" w:rsidRPr="00DC086A" w:rsidRDefault="00254F3C" w:rsidP="00D14398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Místem plnění je sídlo zadavatele.</w:t>
            </w:r>
          </w:p>
        </w:tc>
      </w:tr>
      <w:tr w:rsidR="00E13CC9" w:rsidRPr="00A24981" w:rsidTr="00D14398">
        <w:trPr>
          <w:gridAfter w:val="1"/>
          <w:wAfter w:w="13" w:type="dxa"/>
          <w:trHeight w:val="526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8C1D74" w:rsidRPr="00801FB2" w:rsidRDefault="00706E9D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916" w:type="dxa"/>
            <w:tcBorders>
              <w:right w:val="single" w:sz="4" w:space="0" w:color="auto"/>
            </w:tcBorders>
            <w:vAlign w:val="center"/>
          </w:tcPr>
          <w:p w:rsidR="008C1D74" w:rsidRPr="00801FB2" w:rsidRDefault="00DC086A" w:rsidP="00443F7F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nabídkové ceny v Kč </w:t>
            </w:r>
            <w:r w:rsidR="00443F7F">
              <w:rPr>
                <w:rFonts w:cs="Arial"/>
                <w:sz w:val="20"/>
              </w:rPr>
              <w:t>celkem</w:t>
            </w:r>
            <w:r w:rsidR="00B664B1">
              <w:rPr>
                <w:rFonts w:cs="Arial"/>
                <w:sz w:val="20"/>
              </w:rPr>
              <w:t>,</w:t>
            </w:r>
            <w:r w:rsidR="006C37BF">
              <w:rPr>
                <w:rFonts w:cs="Arial"/>
                <w:sz w:val="20"/>
              </w:rPr>
              <w:t xml:space="preserve"> </w:t>
            </w:r>
            <w:r w:rsidR="00254F3C">
              <w:rPr>
                <w:rFonts w:cs="Arial"/>
                <w:sz w:val="20"/>
              </w:rPr>
              <w:t xml:space="preserve">uvedené </w:t>
            </w:r>
            <w:r w:rsidR="002260DE">
              <w:rPr>
                <w:rFonts w:cs="Arial"/>
                <w:sz w:val="20"/>
              </w:rPr>
              <w:t>v kupní smlouvě</w:t>
            </w:r>
          </w:p>
        </w:tc>
      </w:tr>
      <w:tr w:rsidR="00E13CC9" w:rsidRPr="00A24981" w:rsidTr="00D14398">
        <w:trPr>
          <w:gridAfter w:val="1"/>
          <w:wAfter w:w="13" w:type="dxa"/>
          <w:trHeight w:val="766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8C1D74" w:rsidRPr="00801FB2" w:rsidRDefault="008C1D74" w:rsidP="005770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916" w:type="dxa"/>
            <w:tcBorders>
              <w:right w:val="single" w:sz="4" w:space="0" w:color="auto"/>
            </w:tcBorders>
            <w:vAlign w:val="center"/>
          </w:tcPr>
          <w:p w:rsidR="008C1D74" w:rsidRPr="00801FB2" w:rsidRDefault="00DC086A" w:rsidP="0057702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7C42D8" w:rsidRPr="00A24981" w:rsidTr="00D14398">
        <w:trPr>
          <w:gridAfter w:val="1"/>
          <w:wAfter w:w="13" w:type="dxa"/>
          <w:trHeight w:val="324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7C42D8" w:rsidRPr="00D60699" w:rsidRDefault="007C42D8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t>Požadavky na prokázání kvalifikace</w:t>
            </w:r>
          </w:p>
        </w:tc>
        <w:tc>
          <w:tcPr>
            <w:tcW w:w="6916" w:type="dxa"/>
            <w:tcBorders>
              <w:right w:val="single" w:sz="4" w:space="0" w:color="auto"/>
            </w:tcBorders>
            <w:vAlign w:val="center"/>
          </w:tcPr>
          <w:p w:rsidR="00094275" w:rsidRPr="00A277F2" w:rsidRDefault="00A277F2" w:rsidP="00BF635A">
            <w:pPr>
              <w:spacing w:after="100"/>
              <w:ind w:firstLine="0"/>
              <w:rPr>
                <w:rFonts w:cs="Arial"/>
                <w:i/>
                <w:sz w:val="18"/>
              </w:rPr>
            </w:pPr>
            <w:r w:rsidRPr="00A277F2">
              <w:rPr>
                <w:rFonts w:cs="Arial"/>
                <w:sz w:val="20"/>
              </w:rPr>
              <w:t>Dodavatel přiloží čestné prohlášení dle přílohy této výzvy</w:t>
            </w:r>
            <w:bookmarkStart w:id="0" w:name="_GoBack"/>
            <w:bookmarkEnd w:id="0"/>
          </w:p>
        </w:tc>
      </w:tr>
      <w:tr w:rsidR="006C37BF" w:rsidRPr="00A24981" w:rsidTr="00D14398">
        <w:trPr>
          <w:trHeight w:val="194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6C37BF" w:rsidRPr="00590C99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Lhůta a způsob podání nabídky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</w:tcPr>
          <w:p w:rsidR="006C37BF" w:rsidRDefault="008A622E" w:rsidP="006C37BF">
            <w:pPr>
              <w:pStyle w:val="Normlnweb"/>
              <w:spacing w:beforeAutospacing="0" w:after="60" w:afterAutospacing="0"/>
              <w:ind w:left="623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="006C37BF" w:rsidRPr="00BC1521">
              <w:rPr>
                <w:rFonts w:ascii="Arial" w:hAnsi="Arial" w:cs="Arial"/>
                <w:b/>
                <w:sz w:val="20"/>
              </w:rPr>
              <w:t>.1.</w:t>
            </w:r>
            <w:r w:rsidR="006C37BF" w:rsidRPr="00BC1521">
              <w:rPr>
                <w:rFonts w:ascii="Arial" w:hAnsi="Arial" w:cs="Arial"/>
                <w:sz w:val="20"/>
              </w:rPr>
              <w:t xml:space="preserve"> </w:t>
            </w:r>
            <w:r w:rsidR="006C37BF">
              <w:rPr>
                <w:rFonts w:ascii="Arial" w:hAnsi="Arial" w:cs="Arial"/>
                <w:sz w:val="20"/>
              </w:rPr>
              <w:t xml:space="preserve">  Nabídku podá dodavatel elektronicky prostřednictvím Profilu zadavatele</w:t>
            </w:r>
            <w:r w:rsidR="002260DE">
              <w:rPr>
                <w:rFonts w:ascii="Arial" w:hAnsi="Arial" w:cs="Arial"/>
                <w:sz w:val="20"/>
              </w:rPr>
              <w:t>.</w:t>
            </w:r>
          </w:p>
          <w:p w:rsidR="006C37BF" w:rsidRPr="00BC1521" w:rsidRDefault="008A622E" w:rsidP="006C37BF">
            <w:pPr>
              <w:pStyle w:val="Normlnweb"/>
              <w:spacing w:beforeAutospacing="0" w:after="60" w:afterAutospacing="0"/>
              <w:ind w:left="62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6</w:t>
            </w:r>
            <w:r w:rsidR="006C37BF" w:rsidRPr="00BC1521">
              <w:rPr>
                <w:rFonts w:ascii="Arial" w:hAnsi="Arial" w:cs="Arial"/>
                <w:b/>
                <w:sz w:val="20"/>
              </w:rPr>
              <w:t>.2.</w:t>
            </w:r>
            <w:r w:rsidR="006C37BF">
              <w:rPr>
                <w:rFonts w:ascii="Arial" w:hAnsi="Arial" w:cs="Arial"/>
                <w:sz w:val="20"/>
              </w:rPr>
              <w:t xml:space="preserve">  </w:t>
            </w:r>
            <w:r w:rsidR="006C37BF" w:rsidRPr="00BC1521">
              <w:rPr>
                <w:rFonts w:ascii="Arial" w:hAnsi="Arial" w:cs="Arial"/>
                <w:sz w:val="20"/>
              </w:rPr>
              <w:t>Lhůta</w:t>
            </w:r>
            <w:proofErr w:type="gramEnd"/>
            <w:r w:rsidR="006C37BF" w:rsidRPr="00BC1521">
              <w:rPr>
                <w:rFonts w:ascii="Arial" w:hAnsi="Arial" w:cs="Arial"/>
                <w:sz w:val="20"/>
              </w:rPr>
              <w:t xml:space="preserve"> pro podání nabídek je stanovena do </w:t>
            </w:r>
            <w:r w:rsidR="002260DE" w:rsidRPr="00A277F2">
              <w:rPr>
                <w:rFonts w:ascii="Arial" w:hAnsi="Arial" w:cs="Arial"/>
                <w:b/>
                <w:color w:val="FF0000"/>
                <w:sz w:val="20"/>
              </w:rPr>
              <w:t>22</w:t>
            </w:r>
            <w:r w:rsidR="006C37BF" w:rsidRPr="00A277F2">
              <w:rPr>
                <w:rFonts w:ascii="Arial" w:hAnsi="Arial" w:cs="Arial"/>
                <w:b/>
                <w:color w:val="FF0000"/>
                <w:sz w:val="20"/>
              </w:rPr>
              <w:t xml:space="preserve">. </w:t>
            </w:r>
            <w:r w:rsidR="009C0C33" w:rsidRPr="00A277F2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 w:rsidR="002260DE" w:rsidRPr="00A277F2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 w:rsidR="006C37BF" w:rsidRPr="00A277F2">
              <w:rPr>
                <w:rFonts w:ascii="Arial" w:hAnsi="Arial" w:cs="Arial"/>
                <w:b/>
                <w:color w:val="FF0000"/>
                <w:sz w:val="20"/>
              </w:rPr>
              <w:t>. 202</w:t>
            </w:r>
            <w:r w:rsidR="00D14398" w:rsidRPr="00A277F2">
              <w:rPr>
                <w:rFonts w:ascii="Arial" w:hAnsi="Arial" w:cs="Arial"/>
                <w:b/>
                <w:color w:val="FF0000"/>
                <w:sz w:val="20"/>
              </w:rPr>
              <w:t>5</w:t>
            </w:r>
            <w:r w:rsidR="006C37BF" w:rsidRPr="00A277F2">
              <w:rPr>
                <w:rFonts w:ascii="Arial" w:hAnsi="Arial" w:cs="Arial"/>
                <w:b/>
                <w:color w:val="FF0000"/>
                <w:sz w:val="20"/>
              </w:rPr>
              <w:t xml:space="preserve"> do</w:t>
            </w:r>
            <w:r w:rsidR="006C37BF" w:rsidRPr="00A277F2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2260DE" w:rsidRPr="00A277F2">
              <w:rPr>
                <w:rFonts w:ascii="Arial" w:hAnsi="Arial" w:cs="Arial"/>
                <w:color w:val="FF0000"/>
                <w:sz w:val="20"/>
              </w:rPr>
              <w:t>8</w:t>
            </w:r>
            <w:r w:rsidR="006C37BF" w:rsidRPr="00A277F2">
              <w:rPr>
                <w:rFonts w:ascii="Arial" w:hAnsi="Arial" w:cs="Arial"/>
                <w:b/>
                <w:color w:val="FF0000"/>
                <w:sz w:val="20"/>
              </w:rPr>
              <w:t>:00 hod</w:t>
            </w:r>
            <w:r w:rsidR="006C37BF" w:rsidRPr="00BC1521">
              <w:rPr>
                <w:rFonts w:ascii="Arial" w:hAnsi="Arial" w:cs="Arial"/>
                <w:sz w:val="20"/>
              </w:rPr>
              <w:t>.</w:t>
            </w:r>
            <w:r w:rsidR="006C37BF">
              <w:rPr>
                <w:rFonts w:ascii="Arial" w:hAnsi="Arial" w:cs="Arial"/>
                <w:sz w:val="20"/>
              </w:rPr>
              <w:t xml:space="preserve"> </w:t>
            </w:r>
          </w:p>
          <w:p w:rsidR="006C37BF" w:rsidRPr="00BC1521" w:rsidRDefault="008A622E" w:rsidP="006C37BF">
            <w:pPr>
              <w:pStyle w:val="Normlnweb"/>
              <w:spacing w:beforeAutospacing="0" w:after="60" w:afterAutospacing="0"/>
              <w:ind w:left="48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C37BF" w:rsidRPr="00BC1521">
              <w:rPr>
                <w:rFonts w:ascii="Arial" w:hAnsi="Arial" w:cs="Arial"/>
                <w:b/>
                <w:sz w:val="20"/>
                <w:szCs w:val="20"/>
              </w:rPr>
              <w:t>.3.</w:t>
            </w:r>
            <w:r w:rsidR="006C37BF" w:rsidRPr="00BC1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BF" w:rsidRPr="00BC1521">
              <w:rPr>
                <w:rFonts w:ascii="Arial" w:hAnsi="Arial" w:cs="Arial"/>
                <w:sz w:val="20"/>
                <w:szCs w:val="20"/>
              </w:rPr>
              <w:t>Obsah</w:t>
            </w:r>
            <w:proofErr w:type="gramEnd"/>
            <w:r w:rsidR="006C37BF" w:rsidRPr="00BC1521">
              <w:rPr>
                <w:rFonts w:ascii="Arial" w:hAnsi="Arial" w:cs="Arial"/>
                <w:sz w:val="20"/>
                <w:szCs w:val="20"/>
              </w:rPr>
              <w:t xml:space="preserve"> nabídky</w:t>
            </w:r>
            <w:r w:rsidR="006C37B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C37BF" w:rsidRDefault="00A277F2" w:rsidP="002260DE">
            <w:pPr>
              <w:pStyle w:val="Normlnweb"/>
              <w:spacing w:before="0" w:beforeAutospacing="0" w:after="0" w:afterAutospacing="0" w:line="276" w:lineRule="auto"/>
              <w:ind w:left="7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1) </w:t>
            </w:r>
            <w:r w:rsidR="002260DE">
              <w:rPr>
                <w:rFonts w:ascii="Arial" w:hAnsi="Arial" w:cs="Arial"/>
                <w:b/>
                <w:sz w:val="20"/>
                <w:szCs w:val="20"/>
              </w:rPr>
              <w:t>Vyplněný návrh kupní smlouvy vč. přílohy – vše v jednom PDF a el. podepsané.</w:t>
            </w:r>
          </w:p>
          <w:p w:rsidR="002260DE" w:rsidRPr="00112EE6" w:rsidRDefault="002260DE" w:rsidP="002260DE">
            <w:pPr>
              <w:pStyle w:val="Normlnweb"/>
              <w:spacing w:before="0" w:beforeAutospacing="0" w:after="0" w:afterAutospacing="0" w:line="276" w:lineRule="auto"/>
              <w:ind w:left="7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20" w:rsidRPr="00F91169" w:rsidRDefault="00A277F2" w:rsidP="002260DE">
            <w:pPr>
              <w:pStyle w:val="Normlnweb"/>
              <w:spacing w:before="0" w:beforeAutospacing="0" w:after="0" w:afterAutospacing="0" w:line="276" w:lineRule="auto"/>
              <w:ind w:left="7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2) 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6C37BF" w:rsidRPr="006C37BF">
              <w:rPr>
                <w:rFonts w:ascii="Arial" w:hAnsi="Arial" w:cs="Arial"/>
                <w:b/>
                <w:sz w:val="20"/>
                <w:szCs w:val="20"/>
              </w:rPr>
              <w:t xml:space="preserve">estné prohlášení </w:t>
            </w:r>
          </w:p>
        </w:tc>
      </w:tr>
      <w:tr w:rsidR="004232D6" w:rsidRPr="00A24981" w:rsidTr="00D14398">
        <w:trPr>
          <w:trHeight w:val="1131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4232D6" w:rsidRPr="00590C99" w:rsidRDefault="00054C64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br w:type="page"/>
            </w:r>
            <w:r w:rsidR="004232D6" w:rsidRPr="00590C99">
              <w:rPr>
                <w:rFonts w:ascii="Arial" w:hAnsi="Arial" w:cs="Arial"/>
                <w:i/>
                <w:sz w:val="19"/>
                <w:szCs w:val="19"/>
              </w:rPr>
              <w:t>Ostatní podmínky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</w:tcPr>
          <w:p w:rsidR="006C37BF" w:rsidRPr="00112EE6" w:rsidRDefault="00433145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.1.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Dle</w:t>
            </w:r>
            <w:proofErr w:type="gramEnd"/>
            <w:r w:rsidR="006C37BF" w:rsidRPr="00112EE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6C37BF"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 xml:space="preserve"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lastRenderedPageBreak/>
              <w:t>o střetu zájmů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nebo jím ovládaná osoba, podíl představující alespoň 25 % účasti společníka v obchodní společnosti.</w:t>
            </w:r>
            <w:r w:rsidR="006C37BF"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6C37BF" w:rsidRPr="00112EE6" w:rsidRDefault="006C37BF" w:rsidP="006C37BF">
            <w:pPr>
              <w:pStyle w:val="slovn2rove"/>
              <w:ind w:left="48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Neexistenci střetu zájmů dle § </w:t>
            </w:r>
            <w:proofErr w:type="gramStart"/>
            <w:r w:rsidRPr="00112EE6">
              <w:rPr>
                <w:rFonts w:ascii="Arial" w:hAnsi="Arial" w:cs="Arial"/>
                <w:b/>
                <w:sz w:val="20"/>
                <w:szCs w:val="20"/>
              </w:rPr>
              <w:t>4b</w:t>
            </w:r>
            <w:proofErr w:type="gramEnd"/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 zákona o střetu zájmů účastník prokáže předložením čestného prohlášení o neexistenci střetu zájmů, které je součástí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formuláře nabídky</w:t>
            </w:r>
            <w:r w:rsidRPr="00F77144">
              <w:rPr>
                <w:rFonts w:ascii="Arial" w:hAnsi="Arial" w:cs="Arial"/>
                <w:sz w:val="20"/>
                <w:szCs w:val="20"/>
              </w:rPr>
              <w:t xml:space="preserve"> (příloha této výzvy).</w:t>
            </w:r>
          </w:p>
          <w:p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Nařízení Rady (EU) 2022/576 ze dne 8. dubna 2022, kterým se mění nařízení (EU) č. 833/2014 o omezujících opatřeních vzhledem k činnostem Ruska destabilizujícím situaci na Ukrajině, je zakázáno zadat nebo dále plnit veřejné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7BF" w:rsidRPr="00112EE6" w:rsidRDefault="006C37BF" w:rsidP="006C37BF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:rsidR="006C37BF" w:rsidRPr="00112EE6" w:rsidRDefault="006C37BF" w:rsidP="006C37BF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04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:rsidR="006C37BF" w:rsidRPr="00112EE6" w:rsidRDefault="006C37BF" w:rsidP="006C37BF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04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:rsidR="006C37BF" w:rsidRPr="00112EE6" w:rsidRDefault="006C37BF" w:rsidP="006C37BF">
            <w:pPr>
              <w:pStyle w:val="Zkladntext"/>
              <w:widowControl w:val="0"/>
              <w:spacing w:before="120"/>
              <w:ind w:left="4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:rsidR="006C37BF" w:rsidRPr="00112EE6" w:rsidRDefault="00433145" w:rsidP="006C37BF">
            <w:pPr>
              <w:pStyle w:val="Zkladntext"/>
              <w:widowControl w:val="0"/>
              <w:spacing w:before="120"/>
              <w:ind w:left="481" w:hanging="425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.2.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 formuláře nabídky </w:t>
            </w:r>
            <w:r w:rsidR="006C37BF" w:rsidRPr="00F77144">
              <w:rPr>
                <w:rFonts w:ascii="Arial" w:hAnsi="Arial" w:cs="Arial"/>
                <w:sz w:val="20"/>
                <w:szCs w:val="20"/>
              </w:rPr>
              <w:t>(příloha č. 2 výzvy).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6C37BF" w:rsidRPr="00112EE6" w:rsidRDefault="006C37BF" w:rsidP="006C37BF">
            <w:pPr>
              <w:pStyle w:val="Normlnweb"/>
              <w:spacing w:before="0" w:beforeAutospacing="0" w:after="0" w:afterAutospacing="0" w:line="276" w:lineRule="auto"/>
              <w:ind w:left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:rsidR="006C37BF" w:rsidRDefault="00433145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>Nabídka</w:t>
            </w:r>
            <w:proofErr w:type="gramEnd"/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BF">
              <w:rPr>
                <w:rFonts w:ascii="Arial" w:hAnsi="Arial" w:cs="Arial"/>
                <w:sz w:val="20"/>
                <w:szCs w:val="20"/>
              </w:rPr>
              <w:t>bude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:rsidR="006C37BF" w:rsidRDefault="00433145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.4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Zadavatel</w:t>
            </w:r>
            <w:proofErr w:type="gramEnd"/>
            <w:r w:rsidR="006C37BF" w:rsidRPr="0042453D">
              <w:rPr>
                <w:rFonts w:ascii="Arial" w:hAnsi="Arial" w:cs="Arial"/>
                <w:sz w:val="20"/>
                <w:szCs w:val="20"/>
              </w:rPr>
              <w:t xml:space="preserve"> si může od dodavatelů vyžádat další informace či doklady související s jejich nabídkou.</w:t>
            </w:r>
          </w:p>
          <w:p w:rsidR="006C37BF" w:rsidRDefault="00433145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Dodavatel</w:t>
            </w:r>
            <w:proofErr w:type="gramEnd"/>
            <w:r w:rsidR="006C37BF" w:rsidRPr="0042453D">
              <w:rPr>
                <w:rFonts w:ascii="Arial" w:hAnsi="Arial" w:cs="Arial"/>
                <w:sz w:val="20"/>
                <w:szCs w:val="20"/>
              </w:rPr>
              <w:t xml:space="preserve"> nemá nárok na náhradu jeho nákladů spojených s účastí v tomto výběrovém řízení.</w:t>
            </w:r>
          </w:p>
          <w:p w:rsidR="006C37BF" w:rsidRDefault="00433145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437EB6">
              <w:rPr>
                <w:rFonts w:ascii="Arial" w:hAnsi="Arial" w:cs="Arial"/>
                <w:b/>
                <w:sz w:val="20"/>
                <w:szCs w:val="20"/>
              </w:rPr>
              <w:t>.6</w:t>
            </w:r>
            <w:r w:rsidR="006C37BF">
              <w:rPr>
                <w:rFonts w:ascii="Arial" w:hAnsi="Arial" w:cs="Arial"/>
                <w:sz w:val="20"/>
                <w:szCs w:val="20"/>
              </w:rPr>
              <w:t>.  Dodavatel</w:t>
            </w:r>
            <w:proofErr w:type="gramEnd"/>
            <w:r w:rsidR="006C37BF">
              <w:rPr>
                <w:rFonts w:ascii="Arial" w:hAnsi="Arial" w:cs="Arial"/>
                <w:sz w:val="20"/>
                <w:szCs w:val="20"/>
              </w:rPr>
              <w:t xml:space="preserve"> může podat pouze jednu nabídku.</w:t>
            </w:r>
          </w:p>
          <w:p w:rsidR="006C37BF" w:rsidRDefault="00433145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>
              <w:rPr>
                <w:rFonts w:ascii="Arial" w:hAnsi="Arial" w:cs="Arial"/>
                <w:sz w:val="20"/>
                <w:szCs w:val="20"/>
              </w:rPr>
              <w:t>.  Informace</w:t>
            </w:r>
            <w:proofErr w:type="gramEnd"/>
            <w:r w:rsidR="006C37BF">
              <w:rPr>
                <w:rFonts w:ascii="Arial" w:hAnsi="Arial" w:cs="Arial"/>
                <w:sz w:val="20"/>
                <w:szCs w:val="20"/>
              </w:rPr>
              <w:t xml:space="preserve"> o výsledku výběrového řízení bude uveřejněna na profilu zadavatele.</w:t>
            </w:r>
          </w:p>
          <w:p w:rsidR="00281055" w:rsidRPr="00054C64" w:rsidRDefault="00433145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.8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Dodavatel</w:t>
            </w:r>
            <w:proofErr w:type="gramEnd"/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="006C37BF"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6C37BF" w:rsidRPr="00A24981" w:rsidTr="00D14398">
        <w:trPr>
          <w:trHeight w:val="2664"/>
        </w:trPr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:rsidR="006C37BF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Právo zadavatele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</w:tcPr>
          <w:p w:rsidR="006C37BF" w:rsidRDefault="006C37BF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 průběhu lhůty pro podání nabídek měnit, doplnit či upřesnit podmínky zadání veřejné zakázky,</w:t>
            </w:r>
          </w:p>
          <w:p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:rsidR="006C37BF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:rsidR="006C37BF" w:rsidRPr="00437EB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EB6">
              <w:rPr>
                <w:rFonts w:ascii="Arial" w:hAnsi="Arial" w:cs="Arial"/>
                <w:sz w:val="20"/>
                <w:szCs w:val="20"/>
              </w:rPr>
              <w:t>výběrové řízení kdykoliv zrušit.</w:t>
            </w:r>
          </w:p>
        </w:tc>
      </w:tr>
    </w:tbl>
    <w:p w:rsidR="005E7B4F" w:rsidRDefault="005E7B4F" w:rsidP="00CF3F52">
      <w:pPr>
        <w:pStyle w:val="znaka"/>
        <w:spacing w:line="276" w:lineRule="auto"/>
        <w:rPr>
          <w:rFonts w:cs="Arial"/>
          <w:b/>
          <w:sz w:val="20"/>
          <w:szCs w:val="20"/>
        </w:rPr>
      </w:pPr>
    </w:p>
    <w:p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:rsidR="00533B12" w:rsidRPr="00590C99" w:rsidRDefault="005E7B4F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B664B1">
        <w:rPr>
          <w:rFonts w:cs="Arial"/>
          <w:sz w:val="20"/>
          <w:szCs w:val="20"/>
        </w:rPr>
        <w:t>kupní smlouvy</w:t>
      </w:r>
      <w:r w:rsidR="00CE7F00" w:rsidRPr="00590C99">
        <w:rPr>
          <w:rFonts w:cs="Arial"/>
          <w:sz w:val="20"/>
          <w:szCs w:val="20"/>
        </w:rPr>
        <w:t xml:space="preserve"> včetně příloh</w:t>
      </w:r>
    </w:p>
    <w:p w:rsidR="005D40E5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533B12" w:rsidRPr="00590C99">
        <w:rPr>
          <w:rFonts w:cs="Arial"/>
          <w:sz w:val="20"/>
          <w:szCs w:val="20"/>
        </w:rPr>
        <w:t xml:space="preserve"> 2</w:t>
      </w:r>
      <w:r w:rsidR="005E7B4F">
        <w:rPr>
          <w:rFonts w:cs="Arial"/>
          <w:sz w:val="20"/>
          <w:szCs w:val="20"/>
        </w:rPr>
        <w:tab/>
      </w:r>
      <w:r w:rsidR="00D14398">
        <w:rPr>
          <w:rFonts w:cs="Arial"/>
          <w:sz w:val="20"/>
          <w:szCs w:val="20"/>
        </w:rPr>
        <w:t>Č</w:t>
      </w:r>
      <w:r w:rsidR="006C37BF">
        <w:rPr>
          <w:rFonts w:cs="Arial"/>
          <w:sz w:val="20"/>
          <w:szCs w:val="20"/>
        </w:rPr>
        <w:t>estné prohlášení</w:t>
      </w:r>
    </w:p>
    <w:p w:rsidR="00FC2BD8" w:rsidRPr="00CE7F00" w:rsidRDefault="00FC2BD8" w:rsidP="00CF3F52">
      <w:pPr>
        <w:pStyle w:val="znaka"/>
        <w:spacing w:line="276" w:lineRule="auto"/>
        <w:rPr>
          <w:rFonts w:cs="Arial"/>
          <w:sz w:val="20"/>
          <w:szCs w:val="20"/>
        </w:rPr>
      </w:pPr>
    </w:p>
    <w:sectPr w:rsidR="00FC2BD8" w:rsidRPr="00CE7F00" w:rsidSect="00112EE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50" w:rsidRDefault="00C404AE">
      <w:r>
        <w:separator/>
      </w:r>
    </w:p>
  </w:endnote>
  <w:endnote w:type="continuationSeparator" w:id="0">
    <w:p w:rsidR="00844850" w:rsidRDefault="00C4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D14398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:rsidR="00B40A22" w:rsidRDefault="00A277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50" w:rsidRDefault="00C404AE">
      <w:r>
        <w:separator/>
      </w:r>
    </w:p>
  </w:footnote>
  <w:footnote w:type="continuationSeparator" w:id="0">
    <w:p w:rsidR="00844850" w:rsidRDefault="00C4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2D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D66756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23"/>
  </w:num>
  <w:num w:numId="5">
    <w:abstractNumId w:val="20"/>
  </w:num>
  <w:num w:numId="6">
    <w:abstractNumId w:val="2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5"/>
  </w:num>
  <w:num w:numId="13">
    <w:abstractNumId w:val="29"/>
  </w:num>
  <w:num w:numId="14">
    <w:abstractNumId w:val="17"/>
  </w:num>
  <w:num w:numId="15">
    <w:abstractNumId w:val="19"/>
  </w:num>
  <w:num w:numId="16">
    <w:abstractNumId w:val="22"/>
  </w:num>
  <w:num w:numId="17">
    <w:abstractNumId w:val="16"/>
  </w:num>
  <w:num w:numId="18">
    <w:abstractNumId w:val="15"/>
  </w:num>
  <w:num w:numId="19">
    <w:abstractNumId w:val="3"/>
  </w:num>
  <w:num w:numId="20">
    <w:abstractNumId w:val="12"/>
  </w:num>
  <w:num w:numId="21">
    <w:abstractNumId w:val="27"/>
  </w:num>
  <w:num w:numId="22">
    <w:abstractNumId w:val="13"/>
  </w:num>
  <w:num w:numId="23">
    <w:abstractNumId w:val="18"/>
  </w:num>
  <w:num w:numId="24">
    <w:abstractNumId w:val="8"/>
  </w:num>
  <w:num w:numId="25">
    <w:abstractNumId w:val="0"/>
  </w:num>
  <w:num w:numId="26">
    <w:abstractNumId w:val="11"/>
  </w:num>
  <w:num w:numId="27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9"/>
  </w:num>
  <w:num w:numId="30">
    <w:abstractNumId w:val="26"/>
  </w:num>
  <w:num w:numId="31">
    <w:abstractNumId w:val="3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439DC"/>
    <w:rsid w:val="00054C64"/>
    <w:rsid w:val="0007468D"/>
    <w:rsid w:val="00075B53"/>
    <w:rsid w:val="000936A1"/>
    <w:rsid w:val="00094275"/>
    <w:rsid w:val="0009448E"/>
    <w:rsid w:val="00096B32"/>
    <w:rsid w:val="0009728C"/>
    <w:rsid w:val="000B3C6E"/>
    <w:rsid w:val="000B5393"/>
    <w:rsid w:val="000B6CF4"/>
    <w:rsid w:val="000C2DE1"/>
    <w:rsid w:val="000E5DD3"/>
    <w:rsid w:val="00112EE6"/>
    <w:rsid w:val="0011343A"/>
    <w:rsid w:val="001641D1"/>
    <w:rsid w:val="00172A6C"/>
    <w:rsid w:val="0017746E"/>
    <w:rsid w:val="001F0DFF"/>
    <w:rsid w:val="001F4B09"/>
    <w:rsid w:val="00215D92"/>
    <w:rsid w:val="002260DE"/>
    <w:rsid w:val="00246F9D"/>
    <w:rsid w:val="00254F3C"/>
    <w:rsid w:val="0026023B"/>
    <w:rsid w:val="00263309"/>
    <w:rsid w:val="00273B37"/>
    <w:rsid w:val="00281055"/>
    <w:rsid w:val="0028572A"/>
    <w:rsid w:val="0028698A"/>
    <w:rsid w:val="002C6780"/>
    <w:rsid w:val="002D19D6"/>
    <w:rsid w:val="00306738"/>
    <w:rsid w:val="00320925"/>
    <w:rsid w:val="00354AC4"/>
    <w:rsid w:val="0035655C"/>
    <w:rsid w:val="00374DA4"/>
    <w:rsid w:val="00376AFB"/>
    <w:rsid w:val="003B07EE"/>
    <w:rsid w:val="003B3BA9"/>
    <w:rsid w:val="003D013B"/>
    <w:rsid w:val="003F0F53"/>
    <w:rsid w:val="00412CA0"/>
    <w:rsid w:val="004232D6"/>
    <w:rsid w:val="0042453D"/>
    <w:rsid w:val="00431DCA"/>
    <w:rsid w:val="00433145"/>
    <w:rsid w:val="0043381D"/>
    <w:rsid w:val="00443F7F"/>
    <w:rsid w:val="004667DD"/>
    <w:rsid w:val="00471708"/>
    <w:rsid w:val="004A00C9"/>
    <w:rsid w:val="004A02C0"/>
    <w:rsid w:val="004A1020"/>
    <w:rsid w:val="004B0CFD"/>
    <w:rsid w:val="004D6A44"/>
    <w:rsid w:val="004E6319"/>
    <w:rsid w:val="00505B4B"/>
    <w:rsid w:val="00533B12"/>
    <w:rsid w:val="00545473"/>
    <w:rsid w:val="00574F65"/>
    <w:rsid w:val="00577027"/>
    <w:rsid w:val="00581465"/>
    <w:rsid w:val="0058675F"/>
    <w:rsid w:val="00590C99"/>
    <w:rsid w:val="005A346E"/>
    <w:rsid w:val="005A4283"/>
    <w:rsid w:val="005A6D5D"/>
    <w:rsid w:val="005A7BAD"/>
    <w:rsid w:val="005D3B6C"/>
    <w:rsid w:val="005D40E5"/>
    <w:rsid w:val="005E7B4F"/>
    <w:rsid w:val="006024B6"/>
    <w:rsid w:val="00641C17"/>
    <w:rsid w:val="00653EDB"/>
    <w:rsid w:val="006557E2"/>
    <w:rsid w:val="0067444A"/>
    <w:rsid w:val="00675EBF"/>
    <w:rsid w:val="00695269"/>
    <w:rsid w:val="006C37BF"/>
    <w:rsid w:val="006D701F"/>
    <w:rsid w:val="00706E9D"/>
    <w:rsid w:val="00712C45"/>
    <w:rsid w:val="00731892"/>
    <w:rsid w:val="00735C6F"/>
    <w:rsid w:val="00737856"/>
    <w:rsid w:val="00740E99"/>
    <w:rsid w:val="007474E1"/>
    <w:rsid w:val="0076344C"/>
    <w:rsid w:val="00770251"/>
    <w:rsid w:val="007876DC"/>
    <w:rsid w:val="00794F8B"/>
    <w:rsid w:val="00797791"/>
    <w:rsid w:val="007C42D8"/>
    <w:rsid w:val="007C6CEE"/>
    <w:rsid w:val="007F54C9"/>
    <w:rsid w:val="00801FB2"/>
    <w:rsid w:val="0080348D"/>
    <w:rsid w:val="0082186C"/>
    <w:rsid w:val="00844850"/>
    <w:rsid w:val="008535DA"/>
    <w:rsid w:val="0087366B"/>
    <w:rsid w:val="00896DE9"/>
    <w:rsid w:val="008A5D8A"/>
    <w:rsid w:val="008A622E"/>
    <w:rsid w:val="008B39A1"/>
    <w:rsid w:val="008C10ED"/>
    <w:rsid w:val="008C1D74"/>
    <w:rsid w:val="00901889"/>
    <w:rsid w:val="00935F13"/>
    <w:rsid w:val="0095013B"/>
    <w:rsid w:val="00950600"/>
    <w:rsid w:val="00973DE0"/>
    <w:rsid w:val="00995553"/>
    <w:rsid w:val="009A7D86"/>
    <w:rsid w:val="009C0C33"/>
    <w:rsid w:val="009E5466"/>
    <w:rsid w:val="009F7692"/>
    <w:rsid w:val="00A24981"/>
    <w:rsid w:val="00A277F2"/>
    <w:rsid w:val="00A27E18"/>
    <w:rsid w:val="00A3612E"/>
    <w:rsid w:val="00AC1862"/>
    <w:rsid w:val="00AD3A6E"/>
    <w:rsid w:val="00AE394A"/>
    <w:rsid w:val="00AE5E7E"/>
    <w:rsid w:val="00B00A73"/>
    <w:rsid w:val="00B134B4"/>
    <w:rsid w:val="00B352A2"/>
    <w:rsid w:val="00B561C9"/>
    <w:rsid w:val="00B664B1"/>
    <w:rsid w:val="00B76E6E"/>
    <w:rsid w:val="00B844C5"/>
    <w:rsid w:val="00BB7EDD"/>
    <w:rsid w:val="00BF635A"/>
    <w:rsid w:val="00C23182"/>
    <w:rsid w:val="00C31568"/>
    <w:rsid w:val="00C323BF"/>
    <w:rsid w:val="00C404AE"/>
    <w:rsid w:val="00C7739E"/>
    <w:rsid w:val="00CA1253"/>
    <w:rsid w:val="00CD2082"/>
    <w:rsid w:val="00CE7F00"/>
    <w:rsid w:val="00CF1542"/>
    <w:rsid w:val="00CF3F52"/>
    <w:rsid w:val="00D01333"/>
    <w:rsid w:val="00D13F5E"/>
    <w:rsid w:val="00D14398"/>
    <w:rsid w:val="00D17A7D"/>
    <w:rsid w:val="00D205D4"/>
    <w:rsid w:val="00D26169"/>
    <w:rsid w:val="00D47CC3"/>
    <w:rsid w:val="00D60699"/>
    <w:rsid w:val="00D724A7"/>
    <w:rsid w:val="00D82BF9"/>
    <w:rsid w:val="00DA26CA"/>
    <w:rsid w:val="00DB0599"/>
    <w:rsid w:val="00DC086A"/>
    <w:rsid w:val="00DC7E42"/>
    <w:rsid w:val="00DF4EDC"/>
    <w:rsid w:val="00DF56F4"/>
    <w:rsid w:val="00E06AEF"/>
    <w:rsid w:val="00E13CC9"/>
    <w:rsid w:val="00E16058"/>
    <w:rsid w:val="00E20642"/>
    <w:rsid w:val="00E226F6"/>
    <w:rsid w:val="00E61257"/>
    <w:rsid w:val="00E6780B"/>
    <w:rsid w:val="00E718DF"/>
    <w:rsid w:val="00E86DCE"/>
    <w:rsid w:val="00E9222B"/>
    <w:rsid w:val="00EB0E21"/>
    <w:rsid w:val="00EC5E75"/>
    <w:rsid w:val="00EC6FDB"/>
    <w:rsid w:val="00ED16D7"/>
    <w:rsid w:val="00ED7497"/>
    <w:rsid w:val="00F305CE"/>
    <w:rsid w:val="00F57242"/>
    <w:rsid w:val="00F61551"/>
    <w:rsid w:val="00F91169"/>
    <w:rsid w:val="00FA6068"/>
    <w:rsid w:val="00FC2BD8"/>
    <w:rsid w:val="00FC5992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A8A8B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9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m@zzsjmk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18E65-2729-4CC4-9333-90D5B4DB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158</cp:revision>
  <cp:lastPrinted>2024-09-03T05:46:00Z</cp:lastPrinted>
  <dcterms:created xsi:type="dcterms:W3CDTF">2021-07-26T09:07:00Z</dcterms:created>
  <dcterms:modified xsi:type="dcterms:W3CDTF">2025-12-18T13:39:00Z</dcterms:modified>
</cp:coreProperties>
</file>